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1F" w:rsidRDefault="004F5A1F" w:rsidP="004F5A1F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ROK 2020</w:t>
      </w:r>
    </w:p>
    <w:p w:rsidR="004F5A1F" w:rsidRDefault="004F5A1F" w:rsidP="004F5A1F">
      <w:pPr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</w:rPr>
        <w:t>PUBLIKACE</w:t>
      </w:r>
    </w:p>
    <w:p w:rsidR="00131A70" w:rsidRDefault="00131A70" w:rsidP="00611E69">
      <w:pPr>
        <w:spacing w:after="0" w:line="240" w:lineRule="auto"/>
        <w:rPr>
          <w:b/>
        </w:rPr>
      </w:pPr>
    </w:p>
    <w:p w:rsidR="004F5A1F" w:rsidRDefault="004F5A1F" w:rsidP="00131A70">
      <w:pPr>
        <w:spacing w:after="0" w:line="240" w:lineRule="auto"/>
        <w:contextualSpacing/>
      </w:pPr>
    </w:p>
    <w:p w:rsidR="00131A70" w:rsidRPr="00131A70" w:rsidRDefault="00131A70" w:rsidP="00131A70">
      <w:pPr>
        <w:spacing w:after="0" w:line="240" w:lineRule="auto"/>
        <w:contextualSpacing/>
      </w:pPr>
      <w:r w:rsidRPr="00131A70">
        <w:t>JEDLIČKOVÁ H.:</w:t>
      </w:r>
    </w:p>
    <w:p w:rsidR="00131A70" w:rsidRPr="00131A70" w:rsidRDefault="00131A70" w:rsidP="00131A70">
      <w:pPr>
        <w:spacing w:after="0" w:line="240" w:lineRule="auto"/>
        <w:contextualSpacing/>
      </w:pPr>
      <w:r w:rsidRPr="00131A70">
        <w:t xml:space="preserve">Využití terapeutické </w:t>
      </w:r>
      <w:proofErr w:type="spellStart"/>
      <w:r w:rsidRPr="00131A70">
        <w:t>aferézy</w:t>
      </w:r>
      <w:proofErr w:type="spellEnd"/>
      <w:r w:rsidRPr="00131A70">
        <w:t xml:space="preserve"> v dermatologii.</w:t>
      </w:r>
    </w:p>
    <w:p w:rsidR="00131A70" w:rsidRDefault="00131A70" w:rsidP="00131A70">
      <w:pPr>
        <w:spacing w:after="0" w:line="240" w:lineRule="auto"/>
        <w:contextualSpacing/>
      </w:pPr>
      <w:r w:rsidRPr="00131A70">
        <w:t>Česko-slovenská dermatologie, 2020; 95 (3); 100-106</w:t>
      </w:r>
      <w:r w:rsidR="002809C3">
        <w:t>, ISSN 0009-0514.</w:t>
      </w:r>
    </w:p>
    <w:p w:rsidR="001E3764" w:rsidRDefault="001E3764" w:rsidP="00131A70">
      <w:pPr>
        <w:spacing w:after="0" w:line="240" w:lineRule="auto"/>
        <w:contextualSpacing/>
      </w:pPr>
    </w:p>
    <w:p w:rsidR="001E3764" w:rsidRDefault="001E3764" w:rsidP="00131A70">
      <w:pPr>
        <w:spacing w:after="0" w:line="240" w:lineRule="auto"/>
      </w:pPr>
      <w:r w:rsidRPr="001E3764">
        <w:rPr>
          <w:caps/>
        </w:rPr>
        <w:t>Vrbová</w:t>
      </w:r>
      <w:r>
        <w:t xml:space="preserve"> E.</w:t>
      </w:r>
      <w:r w:rsidRPr="003D2846">
        <w:rPr>
          <w:vertAlign w:val="superscript"/>
        </w:rPr>
        <w:t>1</w:t>
      </w:r>
      <w:r>
        <w:t xml:space="preserve">, </w:t>
      </w:r>
      <w:r w:rsidRPr="001E3764">
        <w:rPr>
          <w:caps/>
        </w:rPr>
        <w:t>Mikalová</w:t>
      </w:r>
      <w:r>
        <w:t xml:space="preserve"> L.</w:t>
      </w:r>
      <w:r w:rsidRPr="003D2846">
        <w:rPr>
          <w:vertAlign w:val="superscript"/>
        </w:rPr>
        <w:t>1</w:t>
      </w:r>
      <w:r>
        <w:t xml:space="preserve">, </w:t>
      </w:r>
      <w:r w:rsidRPr="001E3764">
        <w:rPr>
          <w:caps/>
        </w:rPr>
        <w:t>Grillová</w:t>
      </w:r>
      <w:r>
        <w:t xml:space="preserve"> L.</w:t>
      </w:r>
      <w:r>
        <w:rPr>
          <w:vertAlign w:val="superscript"/>
        </w:rPr>
        <w:t>1</w:t>
      </w:r>
      <w:r>
        <w:t xml:space="preserve">, </w:t>
      </w:r>
      <w:r w:rsidRPr="001E3764">
        <w:rPr>
          <w:caps/>
        </w:rPr>
        <w:t>Pospíšilová</w:t>
      </w:r>
      <w:r>
        <w:t xml:space="preserve"> P.</w:t>
      </w:r>
      <w:r w:rsidRPr="003D2846">
        <w:rPr>
          <w:vertAlign w:val="superscript"/>
        </w:rPr>
        <w:t>1</w:t>
      </w:r>
      <w:r>
        <w:t xml:space="preserve">, </w:t>
      </w:r>
      <w:r w:rsidRPr="001E3764">
        <w:rPr>
          <w:caps/>
          <w:u w:val="single"/>
        </w:rPr>
        <w:t>Strnadel</w:t>
      </w:r>
      <w:r w:rsidRPr="001E3764">
        <w:rPr>
          <w:u w:val="single"/>
        </w:rPr>
        <w:t xml:space="preserve"> R</w:t>
      </w:r>
      <w:r>
        <w:t>.</w:t>
      </w:r>
      <w:r w:rsidRPr="003D2846">
        <w:rPr>
          <w:vertAlign w:val="superscript"/>
        </w:rPr>
        <w:t>2</w:t>
      </w:r>
      <w:r>
        <w:t xml:space="preserve">, </w:t>
      </w:r>
      <w:r w:rsidRPr="001E3764">
        <w:rPr>
          <w:caps/>
        </w:rPr>
        <w:t>Dastychová</w:t>
      </w:r>
      <w:r>
        <w:t xml:space="preserve"> E.</w:t>
      </w:r>
      <w:r w:rsidRPr="003D2846">
        <w:rPr>
          <w:vertAlign w:val="superscript"/>
        </w:rPr>
        <w:t>3</w:t>
      </w:r>
      <w:r>
        <w:t xml:space="preserve">, </w:t>
      </w:r>
      <w:r w:rsidRPr="001E3764">
        <w:rPr>
          <w:caps/>
        </w:rPr>
        <w:t xml:space="preserve">Kojanová </w:t>
      </w:r>
      <w:r>
        <w:t>M.</w:t>
      </w:r>
      <w:r w:rsidRPr="003D2846">
        <w:rPr>
          <w:vertAlign w:val="superscript"/>
        </w:rPr>
        <w:t>4</w:t>
      </w:r>
      <w:r>
        <w:t xml:space="preserve">, </w:t>
      </w:r>
      <w:r w:rsidRPr="001E3764">
        <w:rPr>
          <w:caps/>
        </w:rPr>
        <w:t>Kreidlová</w:t>
      </w:r>
      <w:r>
        <w:t xml:space="preserve"> M,</w:t>
      </w:r>
      <w:r w:rsidRPr="003D2846">
        <w:rPr>
          <w:vertAlign w:val="superscript"/>
        </w:rPr>
        <w:t>5</w:t>
      </w:r>
      <w:r>
        <w:t xml:space="preserve"> , </w:t>
      </w:r>
      <w:r w:rsidRPr="001E3764">
        <w:rPr>
          <w:caps/>
        </w:rPr>
        <w:t>Vaňousová</w:t>
      </w:r>
      <w:r>
        <w:t xml:space="preserve"> D.</w:t>
      </w:r>
      <w:r w:rsidRPr="003D2846">
        <w:rPr>
          <w:vertAlign w:val="superscript"/>
        </w:rPr>
        <w:t>6</w:t>
      </w:r>
      <w:r>
        <w:t xml:space="preserve">, </w:t>
      </w:r>
      <w:r w:rsidRPr="001E3764">
        <w:rPr>
          <w:caps/>
        </w:rPr>
        <w:t>Rob</w:t>
      </w:r>
      <w:r>
        <w:t xml:space="preserve"> F.</w:t>
      </w:r>
      <w:r w:rsidRPr="003D2846">
        <w:rPr>
          <w:vertAlign w:val="superscript"/>
        </w:rPr>
        <w:t>6</w:t>
      </w:r>
      <w:r>
        <w:t xml:space="preserve">, </w:t>
      </w:r>
      <w:r w:rsidRPr="001E3764">
        <w:rPr>
          <w:caps/>
        </w:rPr>
        <w:t>Procházka</w:t>
      </w:r>
      <w:r>
        <w:t xml:space="preserve"> P.</w:t>
      </w:r>
      <w:r w:rsidRPr="003D2846">
        <w:rPr>
          <w:vertAlign w:val="superscript"/>
        </w:rPr>
        <w:t>7</w:t>
      </w:r>
      <w:r>
        <w:t xml:space="preserve">, </w:t>
      </w:r>
      <w:r w:rsidRPr="001E3764">
        <w:rPr>
          <w:caps/>
        </w:rPr>
        <w:t xml:space="preserve">Krchňáková </w:t>
      </w:r>
      <w:r>
        <w:t>A.</w:t>
      </w:r>
      <w:r w:rsidRPr="003D2846">
        <w:rPr>
          <w:vertAlign w:val="superscript"/>
        </w:rPr>
        <w:t>3</w:t>
      </w:r>
      <w:r>
        <w:t xml:space="preserve">, </w:t>
      </w:r>
      <w:r w:rsidRPr="001E3764">
        <w:rPr>
          <w:caps/>
        </w:rPr>
        <w:t>Vašků</w:t>
      </w:r>
      <w:r>
        <w:t xml:space="preserve"> V.</w:t>
      </w:r>
      <w:r w:rsidRPr="003D2846">
        <w:rPr>
          <w:vertAlign w:val="superscript"/>
        </w:rPr>
        <w:t>3</w:t>
      </w:r>
      <w:r>
        <w:t xml:space="preserve">, </w:t>
      </w:r>
      <w:r w:rsidRPr="001E3764">
        <w:rPr>
          <w:caps/>
        </w:rPr>
        <w:t>Woznicová</w:t>
      </w:r>
      <w:r>
        <w:t xml:space="preserve"> V.</w:t>
      </w:r>
      <w:r w:rsidRPr="003D2846">
        <w:rPr>
          <w:vertAlign w:val="superscript"/>
        </w:rPr>
        <w:t>3</w:t>
      </w:r>
      <w:r>
        <w:t xml:space="preserve">, </w:t>
      </w:r>
      <w:r w:rsidRPr="001E3764">
        <w:rPr>
          <w:caps/>
        </w:rPr>
        <w:t>Dvořáková Heroldová</w:t>
      </w:r>
      <w:r>
        <w:t xml:space="preserve"> M.</w:t>
      </w:r>
      <w:r w:rsidRPr="003D2846">
        <w:rPr>
          <w:vertAlign w:val="superscript"/>
        </w:rPr>
        <w:t>3</w:t>
      </w:r>
      <w:r>
        <w:t>,</w:t>
      </w:r>
      <w:r w:rsidRPr="001E3764">
        <w:t xml:space="preserve"> </w:t>
      </w:r>
      <w:r w:rsidRPr="001E3764">
        <w:rPr>
          <w:caps/>
        </w:rPr>
        <w:t>Kuklová</w:t>
      </w:r>
      <w:r>
        <w:t xml:space="preserve"> I.</w:t>
      </w:r>
      <w:r w:rsidRPr="003D2846">
        <w:rPr>
          <w:vertAlign w:val="superscript"/>
        </w:rPr>
        <w:t>4</w:t>
      </w:r>
      <w:r>
        <w:t xml:space="preserve">, </w:t>
      </w:r>
      <w:r w:rsidRPr="001E3764">
        <w:rPr>
          <w:caps/>
        </w:rPr>
        <w:t>Zákoucká</w:t>
      </w:r>
      <w:r>
        <w:t xml:space="preserve"> H.</w:t>
      </w:r>
      <w:r w:rsidRPr="003D2846">
        <w:rPr>
          <w:vertAlign w:val="superscript"/>
        </w:rPr>
        <w:t>8</w:t>
      </w:r>
      <w:r>
        <w:t xml:space="preserve">, </w:t>
      </w:r>
      <w:r w:rsidRPr="001E3764">
        <w:rPr>
          <w:caps/>
        </w:rPr>
        <w:t>Šmajs</w:t>
      </w:r>
      <w:r>
        <w:t xml:space="preserve"> D.</w:t>
      </w:r>
      <w:r w:rsidRPr="003D2846">
        <w:rPr>
          <w:vertAlign w:val="superscript"/>
        </w:rPr>
        <w:t>1</w:t>
      </w:r>
      <w:r w:rsidR="005B17ED">
        <w:t>*</w:t>
      </w:r>
    </w:p>
    <w:p w:rsidR="001E3764" w:rsidRDefault="001E3764" w:rsidP="001E3764">
      <w:pPr>
        <w:spacing w:after="0" w:line="240" w:lineRule="auto"/>
      </w:pPr>
      <w:r>
        <w:t xml:space="preserve">A </w:t>
      </w:r>
      <w:proofErr w:type="spellStart"/>
      <w:r>
        <w:t>retrospective</w:t>
      </w:r>
      <w:proofErr w:type="spellEnd"/>
      <w:r>
        <w:t xml:space="preserve"> study on </w:t>
      </w:r>
      <w:proofErr w:type="spellStart"/>
      <w:r>
        <w:t>nested</w:t>
      </w:r>
      <w:proofErr w:type="spellEnd"/>
      <w:r>
        <w:t xml:space="preserve"> PCR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syphilis</w:t>
      </w:r>
      <w:proofErr w:type="spellEnd"/>
      <w:r>
        <w:t xml:space="preserve"> </w:t>
      </w:r>
      <w:proofErr w:type="spellStart"/>
      <w:r>
        <w:t>treponemes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: PCR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syphilis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seronegative</w:t>
      </w:r>
      <w:proofErr w:type="spellEnd"/>
      <w:r>
        <w:t xml:space="preserve"> and </w:t>
      </w:r>
      <w:proofErr w:type="spellStart"/>
      <w:r>
        <w:t>serodiscrepant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</w:p>
    <w:p w:rsidR="001E3764" w:rsidRPr="00183E2B" w:rsidRDefault="001E3764" w:rsidP="001E3764">
      <w:pPr>
        <w:shd w:val="clear" w:color="auto" w:fill="FAFAFA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cs-CZ"/>
        </w:rPr>
      </w:pPr>
      <w:r w:rsidRPr="00183E2B">
        <w:rPr>
          <w:rFonts w:ascii="Arial" w:eastAsia="Times New Roman" w:hAnsi="Arial" w:cs="Arial"/>
          <w:sz w:val="21"/>
          <w:szCs w:val="21"/>
          <w:lang w:eastAsia="cs-CZ"/>
        </w:rPr>
        <w:t>Článek v odborném periodiku</w:t>
      </w:r>
    </w:p>
    <w:p w:rsidR="001E3764" w:rsidRDefault="001E3764" w:rsidP="001E3764">
      <w:pPr>
        <w:shd w:val="clear" w:color="auto" w:fill="FAFAFA"/>
        <w:spacing w:after="0" w:line="240" w:lineRule="auto"/>
        <w:textAlignment w:val="top"/>
        <w:rPr>
          <w:rFonts w:ascii="Arial" w:eastAsia="Times New Roman" w:hAnsi="Arial" w:cs="Arial"/>
          <w:sz w:val="21"/>
          <w:szCs w:val="21"/>
          <w:lang w:eastAsia="cs-CZ"/>
        </w:rPr>
      </w:pPr>
      <w:r w:rsidRPr="00183E2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 xml:space="preserve">Plos </w:t>
      </w:r>
      <w:proofErr w:type="spellStart"/>
      <w:r w:rsidRPr="00183E2B">
        <w:rPr>
          <w:rFonts w:ascii="Arial" w:eastAsia="Times New Roman" w:hAnsi="Arial" w:cs="Arial"/>
          <w:b/>
          <w:bCs/>
          <w:sz w:val="21"/>
          <w:szCs w:val="21"/>
          <w:lang w:eastAsia="cs-CZ"/>
        </w:rPr>
        <w:t>one</w:t>
      </w:r>
      <w:proofErr w:type="spellEnd"/>
      <w:r w:rsidRPr="00183E2B">
        <w:rPr>
          <w:rFonts w:ascii="Arial" w:eastAsia="Times New Roman" w:hAnsi="Arial" w:cs="Arial"/>
          <w:sz w:val="21"/>
          <w:szCs w:val="21"/>
          <w:lang w:eastAsia="cs-CZ"/>
        </w:rPr>
        <w:t>, rok: 2020, ročník: 15, vydání: 8, </w:t>
      </w:r>
      <w:hyperlink r:id="rId4" w:tgtFrame="_blank" w:tooltip="http://dx.doi.org/10.1371/journal.pone.0237949" w:history="1">
        <w:r w:rsidRPr="00183E2B">
          <w:rPr>
            <w:rFonts w:ascii="Arial" w:eastAsia="Times New Roman" w:hAnsi="Arial" w:cs="Arial"/>
            <w:sz w:val="21"/>
            <w:szCs w:val="21"/>
            <w:u w:val="single"/>
            <w:lang w:eastAsia="cs-CZ"/>
          </w:rPr>
          <w:t>DOI</w:t>
        </w:r>
      </w:hyperlink>
      <w:r>
        <w:rPr>
          <w:rFonts w:ascii="Arial" w:eastAsia="Times New Roman" w:hAnsi="Arial" w:cs="Arial"/>
          <w:sz w:val="21"/>
          <w:szCs w:val="21"/>
          <w:lang w:eastAsia="cs-CZ"/>
        </w:rPr>
        <w:t xml:space="preserve"> (</w:t>
      </w:r>
      <w:r w:rsidRPr="00A30F07">
        <w:rPr>
          <w:rFonts w:ascii="Arial" w:eastAsia="Times New Roman" w:hAnsi="Arial" w:cs="Arial"/>
          <w:sz w:val="21"/>
          <w:szCs w:val="21"/>
          <w:lang w:eastAsia="cs-CZ"/>
        </w:rPr>
        <w:t>https://doi.org/10.1371/journal.pone.0237949</w:t>
      </w:r>
      <w:r>
        <w:rPr>
          <w:rFonts w:ascii="Arial" w:eastAsia="Times New Roman" w:hAnsi="Arial" w:cs="Arial"/>
          <w:sz w:val="21"/>
          <w:szCs w:val="21"/>
          <w:lang w:eastAsia="cs-CZ"/>
        </w:rPr>
        <w:t>)</w:t>
      </w:r>
    </w:p>
    <w:p w:rsidR="001E3764" w:rsidRDefault="001E3764" w:rsidP="001E3764">
      <w:pPr>
        <w:spacing w:after="0" w:line="240" w:lineRule="auto"/>
      </w:pP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1</w:t>
      </w:r>
      <w:r>
        <w:t xml:space="preserve"> Department </w:t>
      </w:r>
      <w:proofErr w:type="spellStart"/>
      <w:r>
        <w:t>of</w:t>
      </w:r>
      <w:proofErr w:type="spellEnd"/>
      <w:r>
        <w:t xml:space="preserve"> Biology,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Masaryk University, Brno,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2</w:t>
      </w:r>
      <w:r>
        <w:t xml:space="preserve"> Department </w:t>
      </w:r>
      <w:r w:rsidR="00931D5F"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Dermatovenerology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Brno, Brno,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3</w:t>
      </w:r>
      <w:r>
        <w:t xml:space="preserve"> 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Microbiology</w:t>
      </w:r>
      <w:proofErr w:type="spellEnd"/>
      <w:r>
        <w:t xml:space="preserve">,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St. </w:t>
      </w:r>
      <w:proofErr w:type="spellStart"/>
      <w:r>
        <w:t>Anne’s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and Masaryk University, Brno,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4</w:t>
      </w:r>
      <w:r>
        <w:t xml:space="preserve"> Department </w:t>
      </w:r>
      <w:proofErr w:type="spellStart"/>
      <w:r>
        <w:t>of</w:t>
      </w:r>
      <w:proofErr w:type="spellEnd"/>
      <w:r>
        <w:t xml:space="preserve"> Dermatology, 1st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Charles University in Prague, Prague,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5</w:t>
      </w:r>
      <w:r>
        <w:t xml:space="preserve"> Institute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Biochemistry</w:t>
      </w:r>
      <w:proofErr w:type="spellEnd"/>
      <w:r>
        <w:t xml:space="preserve"> and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General University </w:t>
      </w:r>
      <w:proofErr w:type="spellStart"/>
      <w:r>
        <w:t>Hospital</w:t>
      </w:r>
      <w:proofErr w:type="spellEnd"/>
      <w:r>
        <w:t xml:space="preserve"> </w:t>
      </w:r>
      <w:r w:rsidR="00931D5F">
        <w:t xml:space="preserve">              </w:t>
      </w:r>
      <w:r>
        <w:t xml:space="preserve">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Charles University in Prague, Prague,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6</w:t>
      </w:r>
      <w:r>
        <w:t xml:space="preserve"> Department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Dermatovenerology</w:t>
      </w:r>
      <w:proofErr w:type="spellEnd"/>
      <w:r>
        <w:t xml:space="preserve">, 2nd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Charles University in Prague, Prague,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7</w:t>
      </w:r>
      <w:r>
        <w:t xml:space="preserve"> </w:t>
      </w:r>
      <w:proofErr w:type="spellStart"/>
      <w:r>
        <w:t>Outpatient</w:t>
      </w:r>
      <w:proofErr w:type="spellEnd"/>
      <w:r>
        <w:t xml:space="preserve"> STI </w:t>
      </w:r>
      <w:proofErr w:type="spellStart"/>
      <w:r>
        <w:t>Clinic</w:t>
      </w:r>
      <w:proofErr w:type="spellEnd"/>
      <w:r>
        <w:t xml:space="preserve"> </w:t>
      </w:r>
      <w:proofErr w:type="spellStart"/>
      <w:r>
        <w:t>Medicentrum</w:t>
      </w:r>
      <w:proofErr w:type="spellEnd"/>
      <w:r>
        <w:t xml:space="preserve">, Prague, Czech Republic, </w:t>
      </w:r>
    </w:p>
    <w:p w:rsidR="00931D5F" w:rsidRDefault="001E3764" w:rsidP="001E3764">
      <w:pPr>
        <w:spacing w:after="0" w:line="240" w:lineRule="auto"/>
      </w:pPr>
      <w:r w:rsidRPr="003D2846">
        <w:rPr>
          <w:vertAlign w:val="superscript"/>
        </w:rPr>
        <w:t>8</w:t>
      </w:r>
      <w:r>
        <w:t xml:space="preserve"> </w:t>
      </w:r>
      <w:proofErr w:type="spellStart"/>
      <w:r>
        <w:t>National</w:t>
      </w:r>
      <w:proofErr w:type="spellEnd"/>
      <w:r>
        <w:t xml:space="preserve"> Reference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Diagnostics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Syphilis</w:t>
      </w:r>
      <w:proofErr w:type="spellEnd"/>
      <w:r>
        <w:t xml:space="preserve">, </w:t>
      </w:r>
      <w:proofErr w:type="spellStart"/>
      <w:r>
        <w:t>National</w:t>
      </w:r>
      <w:proofErr w:type="spellEnd"/>
      <w:r>
        <w:t xml:space="preserve"> Institute </w:t>
      </w:r>
      <w:proofErr w:type="spellStart"/>
      <w:r>
        <w:t>for</w:t>
      </w:r>
      <w:proofErr w:type="spellEnd"/>
      <w:r>
        <w:t xml:space="preserve"> Public </w:t>
      </w:r>
      <w:proofErr w:type="spellStart"/>
      <w:r>
        <w:t>Health</w:t>
      </w:r>
      <w:proofErr w:type="spellEnd"/>
      <w:r>
        <w:t xml:space="preserve">, Prague, Czech Republic </w:t>
      </w:r>
    </w:p>
    <w:p w:rsidR="001E3764" w:rsidRPr="00183E2B" w:rsidRDefault="001E3764" w:rsidP="001E3764">
      <w:pPr>
        <w:spacing w:after="0" w:line="240" w:lineRule="auto"/>
      </w:pPr>
      <w:r>
        <w:t xml:space="preserve">* dsmajs@med.muni.cz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Syphilis</w:t>
      </w:r>
      <w:proofErr w:type="spellEnd"/>
      <w:r>
        <w:t xml:space="preserve">, </w:t>
      </w:r>
      <w:proofErr w:type="spellStart"/>
      <w:r>
        <w:t>caused</w:t>
      </w:r>
      <w:proofErr w:type="spellEnd"/>
      <w:r>
        <w:t xml:space="preserve"> by Treponema </w:t>
      </w:r>
      <w:proofErr w:type="spellStart"/>
      <w:r>
        <w:t>pallidum</w:t>
      </w:r>
      <w:proofErr w:type="spellEnd"/>
      <w:r>
        <w:t xml:space="preserve"> </w:t>
      </w:r>
      <w:proofErr w:type="spellStart"/>
      <w:r>
        <w:t>ssp</w:t>
      </w:r>
      <w:proofErr w:type="spellEnd"/>
      <w:r>
        <w:t xml:space="preserve">. </w:t>
      </w:r>
      <w:proofErr w:type="spellStart"/>
      <w:r>
        <w:t>pallidum</w:t>
      </w:r>
      <w:proofErr w:type="spellEnd"/>
      <w:r>
        <w:t xml:space="preserve"> (TPA), </w:t>
      </w:r>
      <w:r w:rsidR="00931D5F">
        <w:t xml:space="preserve">                               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persisting</w:t>
      </w:r>
      <w:proofErr w:type="spellEnd"/>
    </w:p>
    <w:p w:rsidR="001E3764" w:rsidRPr="00131A70" w:rsidRDefault="001E3764" w:rsidP="00131A70">
      <w:pPr>
        <w:spacing w:after="0" w:line="240" w:lineRule="auto"/>
        <w:contextualSpacing/>
      </w:pPr>
    </w:p>
    <w:p w:rsidR="00690952" w:rsidRDefault="00690952" w:rsidP="00690952">
      <w:pPr>
        <w:spacing w:after="0" w:line="240" w:lineRule="auto"/>
      </w:pPr>
    </w:p>
    <w:p w:rsidR="00690952" w:rsidRDefault="00690952" w:rsidP="00611E69">
      <w:pPr>
        <w:spacing w:after="0" w:line="240" w:lineRule="auto"/>
      </w:pPr>
    </w:p>
    <w:p w:rsidR="00690952" w:rsidRPr="00FA729A" w:rsidRDefault="00690952" w:rsidP="00611E69">
      <w:pPr>
        <w:spacing w:after="0" w:line="240" w:lineRule="auto"/>
      </w:pPr>
    </w:p>
    <w:sectPr w:rsidR="00690952" w:rsidRPr="00FA729A" w:rsidSect="007405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B4514"/>
    <w:rsid w:val="000F04DD"/>
    <w:rsid w:val="00131A70"/>
    <w:rsid w:val="001E3764"/>
    <w:rsid w:val="002809C3"/>
    <w:rsid w:val="0033786E"/>
    <w:rsid w:val="004F5A1F"/>
    <w:rsid w:val="005B17ED"/>
    <w:rsid w:val="00611E69"/>
    <w:rsid w:val="00690952"/>
    <w:rsid w:val="0074051E"/>
    <w:rsid w:val="00931D5F"/>
    <w:rsid w:val="009F08CB"/>
    <w:rsid w:val="00AE085C"/>
    <w:rsid w:val="00C31E37"/>
    <w:rsid w:val="00DF6DCB"/>
    <w:rsid w:val="00E757CD"/>
    <w:rsid w:val="00FA729A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371/journal.pone.023794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2021-01-28T08:00:00Z</cp:lastPrinted>
  <dcterms:created xsi:type="dcterms:W3CDTF">2021-02-25T09:28:00Z</dcterms:created>
  <dcterms:modified xsi:type="dcterms:W3CDTF">2021-02-25T09:28:00Z</dcterms:modified>
</cp:coreProperties>
</file>