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6C" w:rsidRPr="009F28A7" w:rsidRDefault="009B2A6C" w:rsidP="009F28A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9F28A7">
        <w:rPr>
          <w:rFonts w:ascii="TimesNewRomanPSMT" w:hAnsi="TimesNewRomanPSMT" w:cs="TimesNewRomanPSMT"/>
          <w:b/>
          <w:sz w:val="32"/>
          <w:szCs w:val="32"/>
        </w:rPr>
        <w:t>I. pololetí</w:t>
      </w:r>
      <w:r w:rsidR="00176CCD">
        <w:rPr>
          <w:rFonts w:ascii="TimesNewRomanPSMT" w:hAnsi="TimesNewRomanPSMT" w:cs="TimesNewRomanPSMT"/>
          <w:b/>
          <w:sz w:val="32"/>
          <w:szCs w:val="32"/>
        </w:rPr>
        <w:t xml:space="preserve"> 2018</w:t>
      </w:r>
    </w:p>
    <w:p w:rsidR="009B2A6C" w:rsidRPr="009B2A6C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7863">
        <w:rPr>
          <w:rFonts w:ascii="TimesNewRomanPSMT" w:hAnsi="TimesNewRomanPSMT" w:cs="TimesNewRomanPSMT"/>
          <w:b/>
          <w:sz w:val="20"/>
          <w:szCs w:val="20"/>
        </w:rPr>
        <w:t xml:space="preserve">1. </w:t>
      </w:r>
      <w:r w:rsidRPr="0035075C">
        <w:rPr>
          <w:rFonts w:ascii="TimesNewRomanPSMT" w:hAnsi="TimesNewRomanPSMT" w:cs="TimesNewRomanPSMT"/>
          <w:sz w:val="20"/>
          <w:szCs w:val="20"/>
        </w:rPr>
        <w:t>Počet triáž pozitivních pacientů, odmítnutých KCC/IC k převzetí od výjezdové skupiny poskytovatele zdravotnické záchranné služby.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9B2A6C" w:rsidRPr="001301A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Počet triážovaných: 750</w:t>
      </w:r>
    </w:p>
    <w:p w:rsidR="009B2A6C" w:rsidRPr="001301A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Z toho triáž pozitivních: 710</w:t>
      </w:r>
    </w:p>
    <w:p w:rsidR="009B2A6C" w:rsidRPr="00F03610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Počet odmítnutých: 0</w:t>
      </w:r>
    </w:p>
    <w:p w:rsidR="009B2A6C" w:rsidRPr="00B87863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9D49C8">
        <w:rPr>
          <w:rFonts w:ascii="TimesNewRomanPSMT" w:hAnsi="TimesNewRomanPSMT" w:cs="TimesNewRomanPSMT"/>
          <w:sz w:val="20"/>
          <w:szCs w:val="20"/>
        </w:rPr>
        <w:t>Zdroj: databáze LN Neurologická klinika FN Br</w:t>
      </w:r>
      <w:r w:rsidR="00B87863">
        <w:rPr>
          <w:rFonts w:ascii="TimesNewRomanPSMT" w:hAnsi="TimesNewRomanPSMT" w:cs="TimesNewRomanPSMT"/>
          <w:sz w:val="20"/>
          <w:szCs w:val="20"/>
        </w:rPr>
        <w:t>no</w:t>
      </w:r>
    </w:p>
    <w:p w:rsidR="009B2A6C" w:rsidRPr="005406AE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7863">
        <w:rPr>
          <w:rFonts w:ascii="TimesNewRomanPSMT" w:hAnsi="TimesNewRomanPSMT" w:cs="TimesNewRomanPSMT"/>
          <w:b/>
          <w:sz w:val="20"/>
          <w:szCs w:val="20"/>
        </w:rPr>
        <w:t>2.</w:t>
      </w:r>
      <w:r w:rsidRPr="005406AE">
        <w:rPr>
          <w:rFonts w:ascii="TimesNewRomanPSMT" w:hAnsi="TimesNewRomanPSMT" w:cs="TimesNewRomanPSMT"/>
          <w:sz w:val="20"/>
          <w:szCs w:val="20"/>
        </w:rPr>
        <w:t xml:space="preserve"> Počet pacientů hospitalizovaných v daném KCC/IC pro hlavní diagnózu CMP, vztažený na velikost primární spádové oblasti.</w:t>
      </w:r>
    </w:p>
    <w:p w:rsidR="009B2A6C" w:rsidRPr="001301A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bookmarkStart w:id="0" w:name="OLE_LINK1"/>
      <w:bookmarkStart w:id="1" w:name="OLE_LINK2"/>
      <w:r w:rsidRPr="001301A8">
        <w:rPr>
          <w:rFonts w:ascii="TimesNewRomanPSMT" w:hAnsi="TimesNewRomanPSMT" w:cs="TimesNewRomanPSMT"/>
          <w:b/>
          <w:sz w:val="20"/>
          <w:szCs w:val="20"/>
        </w:rPr>
        <w:t>378 / 347 174</w:t>
      </w:r>
      <w:bookmarkEnd w:id="0"/>
      <w:bookmarkEnd w:id="1"/>
      <w:r w:rsidRPr="001301A8">
        <w:rPr>
          <w:rFonts w:ascii="TimesNewRomanPSMT" w:hAnsi="TimesNewRomanPSMT" w:cs="TimesNewRomanPSMT"/>
          <w:b/>
          <w:sz w:val="20"/>
          <w:szCs w:val="20"/>
        </w:rPr>
        <w:t xml:space="preserve">    0,109%</w:t>
      </w:r>
    </w:p>
    <w:p w:rsidR="009B2A6C" w:rsidRPr="001301A8" w:rsidRDefault="00B87863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Zdroj: NIS AMIS/MPA</w:t>
      </w:r>
    </w:p>
    <w:p w:rsidR="009B2A6C" w:rsidRPr="001301A8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7863">
        <w:rPr>
          <w:rFonts w:ascii="TimesNewRomanPSMT" w:hAnsi="TimesNewRomanPSMT" w:cs="TimesNewRomanPSMT"/>
          <w:b/>
          <w:sz w:val="20"/>
          <w:szCs w:val="20"/>
        </w:rPr>
        <w:t>3.</w:t>
      </w:r>
      <w:r w:rsidRPr="001301A8">
        <w:rPr>
          <w:rFonts w:ascii="TimesNewRomanPSMT" w:hAnsi="TimesNewRomanPSMT" w:cs="TimesNewRomanPSMT"/>
          <w:sz w:val="20"/>
          <w:szCs w:val="20"/>
        </w:rPr>
        <w:t xml:space="preserve"> Počet pacientů hospitalizovaných v KCC pro hlavní diagnózu CMP, vztažený na velikost sekundární spádové oblasti KCC.</w:t>
      </w:r>
    </w:p>
    <w:p w:rsidR="009B2A6C" w:rsidRPr="00CC0BF0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bookmarkStart w:id="2" w:name="OLE_LINK3"/>
      <w:bookmarkStart w:id="3" w:name="OLE_LINK4"/>
      <w:r w:rsidRPr="001301A8">
        <w:rPr>
          <w:rFonts w:ascii="TimesNewRomanPSMT" w:hAnsi="TimesNewRomanPSMT" w:cs="TimesNewRomanPSMT"/>
          <w:b/>
          <w:sz w:val="20"/>
          <w:szCs w:val="20"/>
        </w:rPr>
        <w:t>127 / 528 296</w:t>
      </w:r>
      <w:bookmarkEnd w:id="2"/>
      <w:bookmarkEnd w:id="3"/>
      <w:r w:rsidRPr="001301A8">
        <w:rPr>
          <w:rFonts w:ascii="TimesNewRomanPSMT" w:hAnsi="TimesNewRomanPSMT" w:cs="TimesNewRomanPSMT"/>
          <w:b/>
          <w:sz w:val="20"/>
          <w:szCs w:val="20"/>
        </w:rPr>
        <w:t xml:space="preserve">      0,037%</w:t>
      </w:r>
    </w:p>
    <w:p w:rsidR="009B2A6C" w:rsidRPr="00CC0BF0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0"/>
          <w:szCs w:val="20"/>
        </w:rPr>
      </w:pPr>
      <w:r w:rsidRPr="00CC0BF0">
        <w:rPr>
          <w:rFonts w:ascii="TimesNewRomanPSMT" w:hAnsi="TimesNewRomanPSMT" w:cs="TimesNewRomanPSMT"/>
          <w:sz w:val="20"/>
          <w:szCs w:val="20"/>
        </w:rPr>
        <w:t>Zdroj: NIS AMIS/MPA</w:t>
      </w:r>
    </w:p>
    <w:p w:rsidR="009B2A6C" w:rsidRPr="005A41C6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  <w:highlight w:val="yellow"/>
        </w:rPr>
      </w:pPr>
    </w:p>
    <w:p w:rsidR="009B2A6C" w:rsidRPr="00832628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7863">
        <w:rPr>
          <w:rFonts w:ascii="TimesNewRomanPSMT" w:hAnsi="TimesNewRomanPSMT" w:cs="TimesNewRomanPSMT"/>
          <w:b/>
          <w:sz w:val="20"/>
          <w:szCs w:val="20"/>
        </w:rPr>
        <w:t>4.</w:t>
      </w:r>
      <w:r w:rsidRPr="00832628">
        <w:rPr>
          <w:rFonts w:ascii="TimesNewRomanPSMT" w:hAnsi="TimesNewRomanPSMT" w:cs="TimesNewRomanPSMT"/>
          <w:sz w:val="20"/>
          <w:szCs w:val="20"/>
        </w:rPr>
        <w:t xml:space="preserve"> Počet pacientů s hlavní diagnózou CMP, hospitalizovaných na jednotce intenzivní péče daného KCC/IC v procentech.</w:t>
      </w:r>
    </w:p>
    <w:p w:rsidR="009B2A6C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47</w:t>
      </w:r>
      <w:r>
        <w:rPr>
          <w:rFonts w:ascii="TimesNewRomanPSMT" w:hAnsi="TimesNewRomanPSMT" w:cs="TimesNewRomanPSMT"/>
          <w:b/>
          <w:sz w:val="20"/>
          <w:szCs w:val="20"/>
        </w:rPr>
        <w:t>%</w:t>
      </w:r>
    </w:p>
    <w:p w:rsidR="009B2A6C" w:rsidRPr="009B2A6C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sz w:val="20"/>
          <w:szCs w:val="20"/>
        </w:rPr>
        <w:t>Zdroj: NIS AMIS/MPA</w:t>
      </w:r>
    </w:p>
    <w:p w:rsidR="009B2A6C" w:rsidRPr="001301A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1301A8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7863">
        <w:rPr>
          <w:rFonts w:ascii="TimesNewRomanPSMT" w:hAnsi="TimesNewRomanPSMT" w:cs="TimesNewRomanPSMT"/>
          <w:b/>
          <w:sz w:val="20"/>
          <w:szCs w:val="20"/>
        </w:rPr>
        <w:t>5.</w:t>
      </w:r>
      <w:r w:rsidRPr="001301A8">
        <w:rPr>
          <w:rFonts w:ascii="TimesNewRomanPSMT" w:hAnsi="TimesNewRomanPSMT" w:cs="TimesNewRomanPSMT"/>
          <w:sz w:val="20"/>
          <w:szCs w:val="20"/>
        </w:rPr>
        <w:t xml:space="preserve"> Počet pacientů s diagnózou ischemická CMP, kterým byla podána systémová trombolýza v KCC/IC v procentech.</w:t>
      </w:r>
    </w:p>
    <w:p w:rsidR="009B2A6C" w:rsidRPr="004C5199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106/350     30 %</w:t>
      </w:r>
    </w:p>
    <w:p w:rsidR="009B2A6C" w:rsidRPr="00D832BF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D832BF">
        <w:rPr>
          <w:rFonts w:ascii="TimesNewRomanPSMT" w:hAnsi="TimesNewRomanPSMT" w:cs="TimesNewRomanPSMT"/>
          <w:sz w:val="20"/>
          <w:szCs w:val="20"/>
        </w:rPr>
        <w:t>Zdroj: mezinárodní registr SITS,  NIS AMIS/MPA</w:t>
      </w:r>
    </w:p>
    <w:p w:rsidR="009B2A6C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35075C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7863">
        <w:rPr>
          <w:rFonts w:ascii="TimesNewRomanPSMT" w:hAnsi="TimesNewRomanPSMT" w:cs="TimesNewRomanPSMT"/>
          <w:b/>
          <w:sz w:val="20"/>
          <w:szCs w:val="20"/>
        </w:rPr>
        <w:t>6.</w:t>
      </w:r>
      <w:r w:rsidRPr="0035075C">
        <w:rPr>
          <w:rFonts w:ascii="TimesNewRomanPSMT" w:hAnsi="TimesNewRomanPSMT" w:cs="TimesNewRomanPSMT"/>
          <w:sz w:val="20"/>
          <w:szCs w:val="20"/>
        </w:rPr>
        <w:t xml:space="preserve"> Počet pacientů s diagnózou ischemická CMP, kterým byla podána systémová trombolýza do 60 minut od příjezdu do KCC/IC v procentech.</w:t>
      </w:r>
    </w:p>
    <w:p w:rsidR="009B2A6C" w:rsidRPr="001301A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106/106    100%</w:t>
      </w:r>
    </w:p>
    <w:p w:rsidR="00B87863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0"/>
          <w:szCs w:val="20"/>
        </w:rPr>
      </w:pPr>
      <w:r w:rsidRPr="001301A8">
        <w:rPr>
          <w:rFonts w:ascii="TimesNewRomanPSMT" w:hAnsi="TimesNewRomanPSMT" w:cs="TimesNewRomanPSMT"/>
          <w:sz w:val="20"/>
          <w:szCs w:val="20"/>
        </w:rPr>
        <w:t>Zdroj: mezinárodní registr SITS</w:t>
      </w:r>
    </w:p>
    <w:p w:rsidR="00B87863" w:rsidRDefault="00B87863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0"/>
          <w:szCs w:val="20"/>
        </w:rPr>
      </w:pPr>
    </w:p>
    <w:p w:rsidR="009B2A6C" w:rsidRPr="001301A8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color w:val="000000"/>
          <w:sz w:val="18"/>
          <w:szCs w:val="18"/>
        </w:rPr>
      </w:pPr>
      <w:r w:rsidRPr="00B87863">
        <w:rPr>
          <w:rFonts w:ascii="TimesNewRomanPSMT" w:hAnsi="TimesNewRomanPSMT" w:cs="TimesNewRomanPSMT"/>
          <w:b/>
          <w:color w:val="000000"/>
          <w:sz w:val="20"/>
          <w:szCs w:val="20"/>
        </w:rPr>
        <w:t>7.</w:t>
      </w:r>
      <w:r w:rsidRPr="001301A8">
        <w:rPr>
          <w:rFonts w:ascii="TimesNewRomanPSMT" w:hAnsi="TimesNewRomanPSMT" w:cs="TimesNewRomanPSMT"/>
          <w:color w:val="000000"/>
          <w:sz w:val="20"/>
          <w:szCs w:val="20"/>
        </w:rPr>
        <w:t xml:space="preserve"> Počet pacientů s hlavní diagnózou CMP, hospitalizovaných na akutních rehabilitačních lůžkách daného KCC/IC v procentech. </w:t>
      </w:r>
    </w:p>
    <w:p w:rsidR="00B87863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color w:val="000000"/>
          <w:sz w:val="18"/>
          <w:szCs w:val="18"/>
        </w:rPr>
      </w:pPr>
      <w:r w:rsidRPr="001301A8">
        <w:rPr>
          <w:rFonts w:ascii="MyriadPro-BoldCond" w:hAnsi="MyriadPro-BoldCond" w:cs="MyriadPro-BoldCond"/>
          <w:b/>
          <w:bCs/>
          <w:color w:val="000000"/>
          <w:sz w:val="18"/>
          <w:szCs w:val="18"/>
        </w:rPr>
        <w:t>21%</w:t>
      </w:r>
    </w:p>
    <w:p w:rsidR="009B2A6C" w:rsidRPr="00B87863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color w:val="000000"/>
          <w:sz w:val="18"/>
          <w:szCs w:val="18"/>
        </w:rPr>
      </w:pPr>
      <w:r w:rsidRPr="001301A8">
        <w:rPr>
          <w:rFonts w:ascii="TimesNewRomanPSMT" w:hAnsi="TimesNewRomanPSMT" w:cs="TimesNewRomanPSMT"/>
          <w:sz w:val="20"/>
          <w:szCs w:val="20"/>
        </w:rPr>
        <w:t>Zdroj: NIS AMIS/MPA</w:t>
      </w:r>
    </w:p>
    <w:p w:rsidR="009B2A6C" w:rsidRPr="001301A8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9B2A6C" w:rsidRPr="001301A8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7863">
        <w:rPr>
          <w:rFonts w:ascii="TimesNewRomanPSMT" w:hAnsi="TimesNewRomanPSMT" w:cs="TimesNewRomanPSMT"/>
          <w:b/>
          <w:sz w:val="20"/>
          <w:szCs w:val="20"/>
        </w:rPr>
        <w:t>8.</w:t>
      </w:r>
      <w:r w:rsidRPr="001301A8">
        <w:rPr>
          <w:rFonts w:ascii="TimesNewRomanPSMT" w:hAnsi="TimesNewRomanPSMT" w:cs="TimesNewRomanPSMT"/>
          <w:sz w:val="20"/>
          <w:szCs w:val="20"/>
        </w:rPr>
        <w:t xml:space="preserve"> Počet úmrtí do 30 dnů, do 6 měsíců a do 1 roku v případě pacientů hospitalizovaných pro diagnózu CMP v KCC/ IC v pr</w:t>
      </w:r>
      <w:r w:rsidR="00B87863">
        <w:rPr>
          <w:rFonts w:ascii="TimesNewRomanPSMT" w:hAnsi="TimesNewRomanPSMT" w:cs="TimesNewRomanPSMT"/>
          <w:sz w:val="20"/>
          <w:szCs w:val="20"/>
        </w:rPr>
        <w:t>ocentech a jejich průměrný věk.</w:t>
      </w:r>
    </w:p>
    <w:p w:rsidR="009B2A6C" w:rsidRPr="001301A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i/>
          <w:sz w:val="20"/>
          <w:szCs w:val="20"/>
        </w:rPr>
      </w:pPr>
      <w:r w:rsidRPr="001301A8">
        <w:rPr>
          <w:rFonts w:ascii="TimesNewRomanPSMT" w:hAnsi="TimesNewRomanPSMT" w:cs="TimesNewRomanPSMT"/>
          <w:i/>
          <w:sz w:val="20"/>
          <w:szCs w:val="20"/>
        </w:rPr>
        <w:t>Hospitalizační  mortalita:  33 zemřelých – 7%,  průměrný  věk: 77 let</w:t>
      </w:r>
    </w:p>
    <w:p w:rsidR="009B2A6C" w:rsidRPr="0083262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Další nelze zjistit</w:t>
      </w:r>
    </w:p>
    <w:p w:rsidR="009B2A6C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832628">
        <w:rPr>
          <w:rFonts w:ascii="TimesNewRomanPSMT" w:hAnsi="TimesNewRomanPSMT" w:cs="TimesNewRomanPSMT"/>
          <w:sz w:val="20"/>
          <w:szCs w:val="20"/>
        </w:rPr>
        <w:t xml:space="preserve">Zdroj: </w:t>
      </w:r>
      <w:r>
        <w:rPr>
          <w:rFonts w:ascii="TimesNewRomanPSMT" w:hAnsi="TimesNewRomanPSMT" w:cs="TimesNewRomanPSMT"/>
          <w:sz w:val="20"/>
          <w:szCs w:val="20"/>
        </w:rPr>
        <w:t>registr IKTA</w:t>
      </w:r>
    </w:p>
    <w:p w:rsidR="009B2A6C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35075C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136742">
        <w:rPr>
          <w:rFonts w:ascii="TimesNewRomanPSMT" w:hAnsi="TimesNewRomanPSMT" w:cs="TimesNewRomanPSMT"/>
          <w:b/>
          <w:sz w:val="20"/>
          <w:szCs w:val="20"/>
        </w:rPr>
        <w:t>9.</w:t>
      </w:r>
      <w:r w:rsidRPr="0035075C">
        <w:rPr>
          <w:rFonts w:ascii="TimesNewRomanPSMT" w:hAnsi="TimesNewRomanPSMT" w:cs="TimesNewRomanPSMT"/>
          <w:sz w:val="20"/>
          <w:szCs w:val="20"/>
        </w:rPr>
        <w:t xml:space="preserve"> Počet pacientů s diagnózou ischemické CMP, kterým byla provedena mechanická rekanalizace mozkových tepen v KCC/IC v procentech.</w:t>
      </w:r>
    </w:p>
    <w:p w:rsidR="009B2A6C" w:rsidRPr="00F03610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41/350    12%</w:t>
      </w:r>
    </w:p>
    <w:p w:rsidR="009B2A6C" w:rsidRPr="009D49C8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0"/>
          <w:szCs w:val="20"/>
        </w:rPr>
      </w:pPr>
      <w:r w:rsidRPr="009D49C8">
        <w:rPr>
          <w:rFonts w:ascii="TimesNewRomanPSMT" w:hAnsi="TimesNewRomanPSMT" w:cs="TimesNewRomanPSMT"/>
          <w:sz w:val="20"/>
          <w:szCs w:val="20"/>
        </w:rPr>
        <w:t>Zdroj: vlastní data</w:t>
      </w:r>
    </w:p>
    <w:p w:rsidR="009B2A6C" w:rsidRPr="0022232E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24533E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136742">
        <w:rPr>
          <w:rFonts w:ascii="TimesNewRomanPSMT" w:hAnsi="TimesNewRomanPSMT" w:cs="TimesNewRomanPSMT"/>
          <w:b/>
          <w:color w:val="000000"/>
          <w:sz w:val="20"/>
          <w:szCs w:val="20"/>
        </w:rPr>
        <w:t>10.</w:t>
      </w:r>
      <w:r w:rsidRPr="0024533E">
        <w:rPr>
          <w:rFonts w:ascii="TimesNewRomanPSMT" w:hAnsi="TimesNewRomanPSMT" w:cs="TimesNewRomanPSMT"/>
          <w:color w:val="000000"/>
          <w:sz w:val="20"/>
          <w:szCs w:val="20"/>
        </w:rPr>
        <w:t xml:space="preserve"> Počet pacientů s diagnózou aneuryzmatu mozkových tepen, disekce, A-V malformace či zkratu, intracerebrálního krvácení, kterým byla provedena intervence (klip aneuryzmatu, resekce A-V malformace, evakuace hematomu, embolizace v mozkovém řečišti) v KCC v procentech.</w:t>
      </w:r>
    </w:p>
    <w:p w:rsidR="009B2A6C" w:rsidRPr="0024533E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9B2A6C" w:rsidRPr="005858DC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464FDF">
        <w:rPr>
          <w:rFonts w:ascii="TimesNewRomanPSMT" w:hAnsi="TimesNewRomanPSMT" w:cs="TimesNewRomanPSMT"/>
          <w:b/>
          <w:color w:val="000000"/>
          <w:sz w:val="20"/>
          <w:szCs w:val="20"/>
        </w:rPr>
        <w:t>49/94= 52%</w:t>
      </w:r>
    </w:p>
    <w:p w:rsidR="009B2A6C" w:rsidRDefault="009B2A6C" w:rsidP="009F28A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Zdroj: NIS AMIS/MPA, data NCH kliniky</w:t>
      </w:r>
    </w:p>
    <w:p w:rsidR="009B2A6C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9B2A6C" w:rsidRPr="009D49C8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136742">
        <w:rPr>
          <w:rFonts w:ascii="TimesNewRomanPSMT" w:hAnsi="TimesNewRomanPSMT" w:cs="TimesNewRomanPSMT"/>
          <w:b/>
          <w:sz w:val="20"/>
          <w:szCs w:val="20"/>
        </w:rPr>
        <w:t>11.</w:t>
      </w:r>
      <w:r w:rsidRPr="00F5063A">
        <w:rPr>
          <w:rFonts w:ascii="TimesNewRomanPSMT" w:hAnsi="TimesNewRomanPSMT" w:cs="TimesNewRomanPSMT"/>
          <w:sz w:val="20"/>
          <w:szCs w:val="20"/>
        </w:rPr>
        <w:t xml:space="preserve"> Počet pacientů, kterým byl v rámci primární i sekundární prevence iCMP zaveden stent či provedena PTA či endarterektomie na tepnách zásobujících mozek extra i intrakraniálně v KCC/IC v procentech.</w:t>
      </w:r>
    </w:p>
    <w:p w:rsidR="009B2A6C" w:rsidRPr="00B416FC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416FC">
        <w:rPr>
          <w:rFonts w:ascii="TimesNewRomanPSMT" w:hAnsi="TimesNewRomanPSMT" w:cs="TimesNewRomanPSMT"/>
          <w:sz w:val="20"/>
          <w:szCs w:val="20"/>
        </w:rPr>
        <w:t>Endarterktomie: 9</w:t>
      </w:r>
    </w:p>
    <w:p w:rsidR="009B2A6C" w:rsidRPr="00B416FC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B416FC">
        <w:rPr>
          <w:rFonts w:ascii="TimesNewRomanPSMT" w:hAnsi="TimesNewRomanPSMT" w:cs="TimesNewRomanPSMT"/>
          <w:sz w:val="20"/>
          <w:szCs w:val="20"/>
        </w:rPr>
        <w:t xml:space="preserve">Extrakraniální stenty: 13 </w:t>
      </w:r>
    </w:p>
    <w:p w:rsidR="009B2A6C" w:rsidRPr="00B416FC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416FC">
        <w:rPr>
          <w:rFonts w:ascii="TimesNewRomanPSMT" w:hAnsi="TimesNewRomanPSMT" w:cs="TimesNewRomanPSMT"/>
          <w:sz w:val="20"/>
          <w:szCs w:val="20"/>
        </w:rPr>
        <w:t>Intrakraniální stenty:  4</w:t>
      </w:r>
    </w:p>
    <w:p w:rsidR="009B2A6C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FD6A48">
        <w:rPr>
          <w:rFonts w:ascii="TimesNewRomanPSMT" w:hAnsi="TimesNewRomanPSMT" w:cs="TimesNewRomanPSMT"/>
          <w:b/>
          <w:sz w:val="20"/>
          <w:szCs w:val="20"/>
        </w:rPr>
        <w:t>26/57 = 46 %</w:t>
      </w:r>
    </w:p>
    <w:p w:rsidR="009B2A6C" w:rsidRPr="00B87863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22232E">
        <w:rPr>
          <w:rFonts w:ascii="TimesNewRomanPSMT" w:hAnsi="TimesNewRomanPSMT" w:cs="TimesNewRomanPSMT"/>
          <w:sz w:val="20"/>
          <w:szCs w:val="20"/>
        </w:rPr>
        <w:t>Zdroj: vlastní data</w:t>
      </w:r>
    </w:p>
    <w:p w:rsidR="00B87863" w:rsidRDefault="00B87863" w:rsidP="009F28A7">
      <w:pPr>
        <w:spacing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9B2A6C" w:rsidRPr="0022232E" w:rsidRDefault="009B2A6C" w:rsidP="009F28A7">
      <w:pPr>
        <w:spacing w:line="240" w:lineRule="auto"/>
        <w:jc w:val="both"/>
      </w:pPr>
      <w:r w:rsidRPr="00136742">
        <w:rPr>
          <w:rFonts w:ascii="TimesNewRomanPSMT" w:hAnsi="TimesNewRomanPSMT" w:cs="TimesNewRomanPSMT"/>
          <w:b/>
          <w:color w:val="000000"/>
          <w:sz w:val="20"/>
          <w:szCs w:val="20"/>
        </w:rPr>
        <w:t>12.</w:t>
      </w:r>
      <w:r w:rsidRPr="0022232E">
        <w:rPr>
          <w:rFonts w:ascii="TimesNewRomanPSMT" w:hAnsi="TimesNewRomanPSMT" w:cs="TimesNewRomanPSMT"/>
          <w:color w:val="000000"/>
          <w:sz w:val="20"/>
          <w:szCs w:val="20"/>
        </w:rPr>
        <w:t xml:space="preserve"> Celková délka hospitalizace pacientů pro základní diagnózu CMP v daném KCC/IC (I60-I64, G45)</w:t>
      </w:r>
    </w:p>
    <w:p w:rsidR="009B2A6C" w:rsidRPr="0022232E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1301A8">
        <w:rPr>
          <w:rFonts w:ascii="TimesNewRomanPSMT" w:hAnsi="TimesNewRomanPSMT" w:cs="TimesNewRomanPSMT"/>
          <w:b/>
          <w:sz w:val="20"/>
          <w:szCs w:val="20"/>
        </w:rPr>
        <w:t>6,73</w:t>
      </w:r>
    </w:p>
    <w:p w:rsidR="009B2A6C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22232E">
        <w:rPr>
          <w:rFonts w:ascii="TimesNewRomanPSMT" w:hAnsi="TimesNewRomanPSMT" w:cs="TimesNewRomanPSMT"/>
          <w:sz w:val="20"/>
          <w:szCs w:val="20"/>
        </w:rPr>
        <w:t xml:space="preserve">Zdroj: </w:t>
      </w:r>
      <w:r>
        <w:rPr>
          <w:rFonts w:ascii="TimesNewRomanPSMT" w:hAnsi="TimesNewRomanPSMT" w:cs="TimesNewRomanPSMT"/>
          <w:sz w:val="20"/>
          <w:szCs w:val="20"/>
        </w:rPr>
        <w:t>registr IKTA</w:t>
      </w:r>
    </w:p>
    <w:p w:rsidR="00136742" w:rsidRDefault="00136742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F28A7" w:rsidRDefault="009B2A6C" w:rsidP="00301D99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9F28A7">
        <w:rPr>
          <w:rFonts w:ascii="TimesNewRomanPSMT" w:hAnsi="TimesNewRomanPSMT" w:cs="TimesNewRomanPSMT"/>
          <w:b/>
          <w:sz w:val="32"/>
          <w:szCs w:val="32"/>
        </w:rPr>
        <w:lastRenderedPageBreak/>
        <w:t>II. pololetí</w:t>
      </w:r>
      <w:r w:rsidR="00176CCD">
        <w:rPr>
          <w:rFonts w:ascii="TimesNewRomanPSMT" w:hAnsi="TimesNewRomanPSMT" w:cs="TimesNewRomanPSMT"/>
          <w:b/>
          <w:sz w:val="32"/>
          <w:szCs w:val="32"/>
        </w:rPr>
        <w:t xml:space="preserve"> 2018</w:t>
      </w:r>
      <w:bookmarkStart w:id="4" w:name="_GoBack"/>
      <w:bookmarkEnd w:id="4"/>
    </w:p>
    <w:p w:rsidR="009B2A6C" w:rsidRPr="00136742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136742">
        <w:rPr>
          <w:rFonts w:ascii="TimesNewRomanPSMT" w:hAnsi="TimesNewRomanPSMT" w:cs="TimesNewRomanPSMT"/>
          <w:b/>
          <w:sz w:val="20"/>
          <w:szCs w:val="20"/>
        </w:rPr>
        <w:t>1.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triáž pozitivních pacientů, odmítnutých KCC/IC k převzetí od výjezdové skupiny poskytovatele zdravotnické záchranné služby. 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Počet triážovaných: 790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Z toho triáž pozitivních: 750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Počet odmítnutých: 0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databáze LN Neurologická klinika FN Brno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E6517">
        <w:rPr>
          <w:rFonts w:ascii="TimesNewRomanPSMT" w:hAnsi="TimesNewRomanPSMT" w:cs="TimesNewRomanPSMT"/>
          <w:b/>
          <w:sz w:val="20"/>
          <w:szCs w:val="20"/>
        </w:rPr>
        <w:t>2.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pacientů hospitalizovaných v daném KCC/IC pro hlavní diagnózu CMP, vztažený na velikost primární spádové oblasti.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385 / 347 174    0,111%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NIS AMIS/MPA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E6517">
        <w:rPr>
          <w:rFonts w:ascii="TimesNewRomanPSMT" w:hAnsi="TimesNewRomanPSMT" w:cs="TimesNewRomanPSMT"/>
          <w:b/>
          <w:sz w:val="20"/>
          <w:szCs w:val="20"/>
        </w:rPr>
        <w:t>3.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pacientů hospitalizovaných v KCC pro hlavní diagnózu CMP, vztažený na velikost sekundární spádové oblasti KCC.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94 / 528 296      0,027%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NIS AMIS/MPA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E6517">
        <w:rPr>
          <w:rFonts w:ascii="TimesNewRomanPSMT" w:hAnsi="TimesNewRomanPSMT" w:cs="TimesNewRomanPSMT"/>
          <w:b/>
          <w:sz w:val="20"/>
          <w:szCs w:val="20"/>
        </w:rPr>
        <w:t>4.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pacientů s hlavní diagnózou CMP, hospitalizovaných na jednotce intenzivní péče daného KCC/IC v procentech.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85%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NIS AMIS/MPA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E6517">
        <w:rPr>
          <w:rFonts w:ascii="TimesNewRomanPSMT" w:hAnsi="TimesNewRomanPSMT" w:cs="TimesNewRomanPSMT"/>
          <w:b/>
          <w:sz w:val="20"/>
          <w:szCs w:val="20"/>
        </w:rPr>
        <w:t>5.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pacientů s diagnózou ischemická CMP, kterým byla podána systémová trombolýza v KCC/IC v procentech.</w:t>
      </w:r>
    </w:p>
    <w:p w:rsidR="009B2A6C" w:rsidRPr="00951074" w:rsidRDefault="009B2A6C" w:rsidP="009F28A7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71/287     25 %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mezinárodní registr SITS,  NIS AMIS/MPA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E6517">
        <w:rPr>
          <w:rFonts w:ascii="TimesNewRomanPSMT" w:hAnsi="TimesNewRomanPSMT" w:cs="TimesNewRomanPSMT"/>
          <w:b/>
          <w:sz w:val="20"/>
          <w:szCs w:val="20"/>
        </w:rPr>
        <w:lastRenderedPageBreak/>
        <w:t>6.</w:t>
      </w:r>
      <w:r w:rsidRPr="00AE6517">
        <w:rPr>
          <w:rFonts w:ascii="TimesNewRomanPSMT" w:hAnsi="TimesNewRomanPSMT" w:cs="TimesNewRomanPSMT"/>
          <w:sz w:val="20"/>
          <w:szCs w:val="20"/>
        </w:rPr>
        <w:t xml:space="preserve"> Počet pacientů s diagnózou ischemická CMP, kterým byla podána systémová trombolýza do 60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minut od příjezdu do KCC/IC v procentech.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71/71    100%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mezinárodní registr SITS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color w:val="000000"/>
          <w:sz w:val="18"/>
          <w:szCs w:val="18"/>
        </w:rPr>
      </w:pPr>
      <w:r w:rsidRPr="00AE6517">
        <w:rPr>
          <w:rFonts w:ascii="TimesNewRomanPSMT" w:hAnsi="TimesNewRomanPSMT" w:cs="TimesNewRomanPSMT"/>
          <w:b/>
          <w:color w:val="000000"/>
          <w:sz w:val="20"/>
          <w:szCs w:val="20"/>
        </w:rPr>
        <w:t>7.</w:t>
      </w:r>
      <w:r w:rsidRPr="00951074">
        <w:rPr>
          <w:rFonts w:ascii="TimesNewRomanPSMT" w:hAnsi="TimesNewRomanPSMT" w:cs="TimesNewRomanPSMT"/>
          <w:color w:val="000000"/>
          <w:sz w:val="20"/>
          <w:szCs w:val="20"/>
        </w:rPr>
        <w:t xml:space="preserve"> Počet pacientů s hlavní diagnózou CMP, hospitalizovaných na akutních rehabilitačních lůžkách daného KCC/IC v procentech. 12 </w:t>
      </w:r>
      <w:r w:rsidRPr="00951074">
        <w:rPr>
          <w:rFonts w:ascii="TimesNewRomanPSMT" w:hAnsi="TimesNewRomanPSMT" w:cs="TimesNewRomanPSMT"/>
          <w:color w:val="000000"/>
          <w:sz w:val="18"/>
          <w:szCs w:val="18"/>
        </w:rPr>
        <w:t xml:space="preserve">VĚSTNÍK MZ ČR </w:t>
      </w:r>
      <w:r w:rsidRPr="00951074">
        <w:rPr>
          <w:rFonts w:ascii="ZapfDingbatsITCbyBT-Regular" w:hAnsi="ZapfDingbatsITCbyBT-Regular" w:cs="ZapfDingbatsITCbyBT-Regular"/>
          <w:color w:val="898989"/>
          <w:sz w:val="12"/>
          <w:szCs w:val="12"/>
        </w:rPr>
        <w:t xml:space="preserve">_ </w:t>
      </w:r>
      <w:r w:rsidRPr="00951074">
        <w:rPr>
          <w:rFonts w:ascii="MyriadPro-BoldCond" w:hAnsi="MyriadPro-BoldCond" w:cs="MyriadPro-BoldCond"/>
          <w:bCs/>
          <w:color w:val="000000"/>
          <w:sz w:val="18"/>
          <w:szCs w:val="18"/>
        </w:rPr>
        <w:t>ČÁSTKA 10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color w:val="000000"/>
          <w:sz w:val="18"/>
          <w:szCs w:val="18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27%</w:t>
      </w:r>
    </w:p>
    <w:p w:rsidR="009B2A6C" w:rsidRPr="00951074" w:rsidRDefault="009F28A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</w:t>
      </w:r>
      <w:r w:rsidR="009B2A6C" w:rsidRPr="00951074">
        <w:rPr>
          <w:rFonts w:ascii="TimesNewRomanPSMT" w:hAnsi="TimesNewRomanPSMT" w:cs="TimesNewRomanPSMT"/>
          <w:sz w:val="20"/>
          <w:szCs w:val="20"/>
        </w:rPr>
        <w:t>droj: NIS AMIS/MPA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AE6517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E6517">
        <w:rPr>
          <w:rFonts w:ascii="TimesNewRomanPSMT" w:hAnsi="TimesNewRomanPSMT" w:cs="TimesNewRomanPSMT"/>
          <w:b/>
          <w:sz w:val="20"/>
          <w:szCs w:val="20"/>
        </w:rPr>
        <w:t>8.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úmrtí do 30 dnů, do 6 měsíců a do 1 roku v případě pacientů hospitalizovaných pro diagnózu CMP v KCC/ IC v p</w:t>
      </w:r>
      <w:r w:rsidR="00AE6517">
        <w:rPr>
          <w:rFonts w:ascii="TimesNewRomanPSMT" w:hAnsi="TimesNewRomanPSMT" w:cs="TimesNewRomanPSMT"/>
          <w:sz w:val="20"/>
          <w:szCs w:val="20"/>
        </w:rPr>
        <w:t>rocentech a jejich průměrný věk</w:t>
      </w:r>
    </w:p>
    <w:p w:rsidR="009B2A6C" w:rsidRPr="00AE6517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i/>
          <w:sz w:val="20"/>
          <w:szCs w:val="20"/>
        </w:rPr>
        <w:t>Hospitalizační  mortalita:  22 zemřelých – 5%,  průměrný  věk: 83 let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Další nelze zjistit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registr IKTA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E6517">
        <w:rPr>
          <w:rFonts w:ascii="TimesNewRomanPSMT" w:hAnsi="TimesNewRomanPSMT" w:cs="TimesNewRomanPSMT"/>
          <w:b/>
          <w:sz w:val="20"/>
          <w:szCs w:val="20"/>
        </w:rPr>
        <w:t>9.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pacientů s diagnózou ischemické CMP, kterým byla provedena mechanická rekanalizace mozkových tepen v KCC/IC v procentech.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41/287    14%</w:t>
      </w:r>
    </w:p>
    <w:p w:rsidR="009B2A6C" w:rsidRDefault="009F28A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Zdroj: vlastní data</w:t>
      </w:r>
    </w:p>
    <w:p w:rsidR="009F28A7" w:rsidRDefault="009F28A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9F28A7" w:rsidRDefault="009F28A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9F28A7" w:rsidRPr="009F28A7" w:rsidRDefault="009F28A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9F28A7">
        <w:rPr>
          <w:rFonts w:ascii="TimesNewRomanPSMT" w:hAnsi="TimesNewRomanPSMT" w:cs="TimesNewRomanPSMT"/>
          <w:b/>
          <w:color w:val="000000"/>
          <w:sz w:val="20"/>
          <w:szCs w:val="20"/>
        </w:rPr>
        <w:t>10.</w:t>
      </w:r>
      <w:r w:rsidRPr="00951074">
        <w:rPr>
          <w:rFonts w:ascii="TimesNewRomanPSMT" w:hAnsi="TimesNewRomanPSMT" w:cs="TimesNewRomanPSMT"/>
          <w:color w:val="000000"/>
          <w:sz w:val="20"/>
          <w:szCs w:val="20"/>
        </w:rPr>
        <w:t xml:space="preserve"> Počet pacientů s diagnózou aneuryzmatu mozkových tepen, disekce, A-V malformace či zkratu, intracerebrálního krvácení, kterým byla provedena intervence (klip aneuryzmatu, resekce A-V malformace, evakuace hematomu, embolizace v mozkovém řečišti) v KCC v procentech.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951074">
        <w:rPr>
          <w:rFonts w:ascii="TimesNewRomanPSMT" w:hAnsi="TimesNewRomanPSMT" w:cs="TimesNewRomanPSMT"/>
          <w:b/>
          <w:color w:val="000000"/>
          <w:sz w:val="20"/>
          <w:szCs w:val="20"/>
        </w:rPr>
        <w:t>35/104= 34%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AE6517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951074">
        <w:rPr>
          <w:rFonts w:ascii="TimesNewRomanPSMT" w:hAnsi="TimesNewRomanPSMT" w:cs="TimesNewRomanPSMT"/>
          <w:color w:val="000000"/>
          <w:sz w:val="20"/>
          <w:szCs w:val="20"/>
        </w:rPr>
        <w:t xml:space="preserve">Zdroj: NIS AMIS/MPA, </w:t>
      </w:r>
      <w:r w:rsidR="00AE6517">
        <w:rPr>
          <w:rFonts w:ascii="TimesNewRomanPSMT" w:hAnsi="TimesNewRomanPSMT" w:cs="TimesNewRomanPSMT"/>
          <w:color w:val="000000"/>
          <w:sz w:val="20"/>
          <w:szCs w:val="20"/>
        </w:rPr>
        <w:t>data NCH kliniky</w:t>
      </w:r>
    </w:p>
    <w:p w:rsidR="00AE6517" w:rsidRDefault="00AE651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AE6517" w:rsidRDefault="00AE651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AE6517" w:rsidRDefault="00AE651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AE6517" w:rsidRDefault="00AE651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AE6517" w:rsidRDefault="00AE651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9B2A6C" w:rsidRPr="00AE6517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9F28A7">
        <w:rPr>
          <w:rFonts w:ascii="TimesNewRomanPSMT" w:hAnsi="TimesNewRomanPSMT" w:cs="TimesNewRomanPSMT"/>
          <w:b/>
          <w:sz w:val="20"/>
          <w:szCs w:val="20"/>
        </w:rPr>
        <w:lastRenderedPageBreak/>
        <w:t>11.</w:t>
      </w:r>
      <w:r w:rsidRPr="00951074">
        <w:rPr>
          <w:rFonts w:ascii="TimesNewRomanPSMT" w:hAnsi="TimesNewRomanPSMT" w:cs="TimesNewRomanPSMT"/>
          <w:sz w:val="20"/>
          <w:szCs w:val="20"/>
        </w:rPr>
        <w:t xml:space="preserve"> Počet pacientů, kterým byl v rámci primární i sekundární prevence iCMP zaveden stent či provedena PTA či endarterektomie na tepnách zásobujících mozek extra i intrakraniálně v KCC/IC v procentech.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Endarterktomie: 12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 xml:space="preserve">Extrakraniální stenty: 6 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Intrakraniální stenty:  5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PTA 5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28/88 = 32 %</w:t>
      </w: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vlastní data</w:t>
      </w:r>
    </w:p>
    <w:p w:rsidR="009B2A6C" w:rsidRPr="00951074" w:rsidRDefault="009B2A6C" w:rsidP="009F28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spacing w:after="0" w:line="240" w:lineRule="auto"/>
        <w:jc w:val="both"/>
      </w:pPr>
      <w:r w:rsidRPr="009F28A7">
        <w:rPr>
          <w:rFonts w:ascii="TimesNewRomanPSMT" w:hAnsi="TimesNewRomanPSMT" w:cs="TimesNewRomanPSMT"/>
          <w:b/>
          <w:color w:val="000000"/>
          <w:sz w:val="20"/>
          <w:szCs w:val="20"/>
        </w:rPr>
        <w:t>12.</w:t>
      </w:r>
      <w:r w:rsidRPr="00951074">
        <w:rPr>
          <w:rFonts w:ascii="TimesNewRomanPSMT" w:hAnsi="TimesNewRomanPSMT" w:cs="TimesNewRomanPSMT"/>
          <w:color w:val="000000"/>
          <w:sz w:val="20"/>
          <w:szCs w:val="20"/>
        </w:rPr>
        <w:t xml:space="preserve"> Celková délka hospitalizace pacientů pro základní diagnózu CMP v daném KCC/IC (I60-I64, G45)</w:t>
      </w:r>
    </w:p>
    <w:p w:rsidR="009F28A7" w:rsidRDefault="009F28A7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9B2A6C" w:rsidRPr="00951074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951074">
        <w:rPr>
          <w:rFonts w:ascii="TimesNewRomanPSMT" w:hAnsi="TimesNewRomanPSMT" w:cs="TimesNewRomanPSMT"/>
          <w:b/>
          <w:sz w:val="20"/>
          <w:szCs w:val="20"/>
        </w:rPr>
        <w:t>6,53</w:t>
      </w:r>
    </w:p>
    <w:p w:rsidR="009B2A6C" w:rsidRPr="006F3236" w:rsidRDefault="009B2A6C" w:rsidP="009F28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51074">
        <w:rPr>
          <w:rFonts w:ascii="TimesNewRomanPSMT" w:hAnsi="TimesNewRomanPSMT" w:cs="TimesNewRomanPSMT"/>
          <w:sz w:val="20"/>
          <w:szCs w:val="20"/>
        </w:rPr>
        <w:t>Zdroj: registr IKTA</w:t>
      </w:r>
    </w:p>
    <w:p w:rsidR="001F3089" w:rsidRDefault="001F3089" w:rsidP="009F28A7">
      <w:pPr>
        <w:spacing w:after="0" w:line="240" w:lineRule="auto"/>
        <w:jc w:val="both"/>
      </w:pPr>
    </w:p>
    <w:p w:rsidR="009F28A7" w:rsidRDefault="009F28A7">
      <w:pPr>
        <w:spacing w:after="0" w:line="240" w:lineRule="auto"/>
        <w:jc w:val="both"/>
      </w:pPr>
    </w:p>
    <w:sectPr w:rsidR="009F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yriadPro-BoldCon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apfDingbatsITCbyBT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6C"/>
    <w:rsid w:val="00136742"/>
    <w:rsid w:val="00176CCD"/>
    <w:rsid w:val="001F3089"/>
    <w:rsid w:val="00301D99"/>
    <w:rsid w:val="009B2A6C"/>
    <w:rsid w:val="009F28A7"/>
    <w:rsid w:val="00AE6517"/>
    <w:rsid w:val="00B802D0"/>
    <w:rsid w:val="00B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Šuťáková Milena</dc:creator>
  <cp:lastModifiedBy>Šuťáková Milena</cp:lastModifiedBy>
  <cp:revision>3</cp:revision>
  <dcterms:created xsi:type="dcterms:W3CDTF">2019-04-17T07:51:00Z</dcterms:created>
  <dcterms:modified xsi:type="dcterms:W3CDTF">2019-04-17T10:31:00Z</dcterms:modified>
</cp:coreProperties>
</file>