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08D" w:rsidRDefault="003C608D" w:rsidP="003C608D"/>
    <w:p w:rsidR="003C608D" w:rsidRDefault="003C608D" w:rsidP="003C608D"/>
    <w:p w:rsidR="003C608D" w:rsidRPr="00936FCD" w:rsidRDefault="003C608D" w:rsidP="003C608D">
      <w:pPr>
        <w:jc w:val="both"/>
        <w:rPr>
          <w:b/>
          <w:sz w:val="32"/>
          <w:szCs w:val="28"/>
          <w:u w:val="single"/>
        </w:rPr>
      </w:pPr>
      <w:r w:rsidRPr="00936FCD">
        <w:rPr>
          <w:b/>
          <w:sz w:val="32"/>
          <w:szCs w:val="28"/>
          <w:u w:val="single"/>
        </w:rPr>
        <w:t xml:space="preserve">Centrum pro epilepsie Brno (FNUSA a FN Brno) </w:t>
      </w:r>
    </w:p>
    <w:p w:rsidR="003C608D" w:rsidRDefault="003C608D" w:rsidP="003C608D">
      <w:pPr>
        <w:jc w:val="both"/>
        <w:rPr>
          <w:sz w:val="28"/>
          <w:szCs w:val="28"/>
        </w:rPr>
      </w:pPr>
    </w:p>
    <w:p w:rsidR="003C608D" w:rsidRDefault="003C608D" w:rsidP="003C608D">
      <w:pPr>
        <w:jc w:val="both"/>
        <w:rPr>
          <w:sz w:val="28"/>
          <w:szCs w:val="28"/>
        </w:rPr>
      </w:pPr>
    </w:p>
    <w:p w:rsidR="003C608D" w:rsidRPr="00395293" w:rsidRDefault="003C608D" w:rsidP="003C608D">
      <w:pPr>
        <w:jc w:val="both"/>
        <w:rPr>
          <w:b/>
          <w:sz w:val="28"/>
          <w:szCs w:val="30"/>
        </w:rPr>
      </w:pPr>
      <w:r w:rsidRPr="00395293">
        <w:rPr>
          <w:b/>
          <w:sz w:val="28"/>
          <w:szCs w:val="30"/>
        </w:rPr>
        <w:t xml:space="preserve">Indikátory kvality poskytované zdravotní péče a výkonnosti Centra vysoce specializované péče o pacienty s </w:t>
      </w:r>
      <w:proofErr w:type="spellStart"/>
      <w:r w:rsidRPr="00395293">
        <w:rPr>
          <w:b/>
          <w:sz w:val="28"/>
          <w:szCs w:val="30"/>
        </w:rPr>
        <w:t>farmakorezistentní</w:t>
      </w:r>
      <w:proofErr w:type="spellEnd"/>
      <w:r w:rsidRPr="00395293">
        <w:rPr>
          <w:b/>
          <w:sz w:val="28"/>
          <w:szCs w:val="30"/>
        </w:rPr>
        <w:t xml:space="preserve"> epilepsií za rok 202</w:t>
      </w:r>
      <w:r>
        <w:rPr>
          <w:b/>
          <w:sz w:val="28"/>
          <w:szCs w:val="30"/>
        </w:rPr>
        <w:t>3</w:t>
      </w:r>
      <w:r w:rsidRPr="00395293">
        <w:rPr>
          <w:b/>
          <w:sz w:val="28"/>
          <w:szCs w:val="30"/>
        </w:rPr>
        <w:t>.</w:t>
      </w:r>
    </w:p>
    <w:p w:rsidR="003C608D" w:rsidRPr="005319F4" w:rsidRDefault="003C608D" w:rsidP="003C608D">
      <w:pPr>
        <w:jc w:val="both"/>
        <w:rPr>
          <w:b/>
          <w:sz w:val="28"/>
          <w:szCs w:val="28"/>
        </w:rPr>
      </w:pPr>
    </w:p>
    <w:p w:rsidR="003C608D" w:rsidRDefault="003C608D" w:rsidP="003C608D">
      <w:pPr>
        <w:rPr>
          <w:sz w:val="28"/>
          <w:szCs w:val="28"/>
        </w:rPr>
      </w:pPr>
    </w:p>
    <w:p w:rsidR="003C608D" w:rsidRDefault="003C608D" w:rsidP="003C608D">
      <w:pPr>
        <w:rPr>
          <w:sz w:val="28"/>
          <w:szCs w:val="28"/>
        </w:rPr>
      </w:pPr>
    </w:p>
    <w:p w:rsidR="003C608D" w:rsidRDefault="003C608D" w:rsidP="003C608D">
      <w:pPr>
        <w:rPr>
          <w:sz w:val="28"/>
          <w:szCs w:val="28"/>
        </w:rPr>
      </w:pPr>
    </w:p>
    <w:p w:rsidR="003C608D" w:rsidRDefault="003C608D" w:rsidP="003C608D">
      <w:pPr>
        <w:rPr>
          <w:sz w:val="28"/>
          <w:szCs w:val="28"/>
        </w:rPr>
      </w:pPr>
    </w:p>
    <w:p w:rsidR="003C608D" w:rsidRDefault="003C608D" w:rsidP="003C608D">
      <w:pPr>
        <w:rPr>
          <w:sz w:val="28"/>
          <w:szCs w:val="28"/>
        </w:rPr>
      </w:pPr>
    </w:p>
    <w:p w:rsidR="003C608D" w:rsidRDefault="003C608D" w:rsidP="003C608D">
      <w:pPr>
        <w:rPr>
          <w:sz w:val="28"/>
          <w:szCs w:val="28"/>
        </w:rPr>
      </w:pPr>
    </w:p>
    <w:p w:rsidR="003C608D" w:rsidRDefault="003C608D" w:rsidP="003C608D">
      <w:pPr>
        <w:rPr>
          <w:sz w:val="28"/>
          <w:szCs w:val="28"/>
        </w:rPr>
      </w:pPr>
    </w:p>
    <w:p w:rsidR="003C608D" w:rsidRDefault="003C608D" w:rsidP="003C608D">
      <w:pPr>
        <w:rPr>
          <w:sz w:val="28"/>
          <w:szCs w:val="28"/>
        </w:rPr>
      </w:pPr>
    </w:p>
    <w:p w:rsidR="003C608D" w:rsidRDefault="003C608D" w:rsidP="003C608D">
      <w:pPr>
        <w:rPr>
          <w:sz w:val="28"/>
          <w:szCs w:val="28"/>
        </w:rPr>
      </w:pPr>
    </w:p>
    <w:p w:rsidR="003C608D" w:rsidRDefault="003C608D" w:rsidP="003C608D">
      <w:pPr>
        <w:rPr>
          <w:sz w:val="28"/>
          <w:szCs w:val="28"/>
        </w:rPr>
      </w:pPr>
    </w:p>
    <w:p w:rsidR="003C608D" w:rsidRDefault="003C608D" w:rsidP="003C608D">
      <w:pPr>
        <w:rPr>
          <w:sz w:val="28"/>
          <w:szCs w:val="28"/>
        </w:rPr>
      </w:pPr>
    </w:p>
    <w:p w:rsidR="003C608D" w:rsidRDefault="003C608D" w:rsidP="003C608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prof. MUDr. Milan Brázdil, PhD., FRCP</w:t>
      </w:r>
    </w:p>
    <w:p w:rsidR="003C608D" w:rsidRDefault="003C608D" w:rsidP="003C608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prim. MUDr. Ondřej Horák</w:t>
      </w:r>
    </w:p>
    <w:p w:rsidR="003C608D" w:rsidRDefault="003C608D" w:rsidP="003C608D">
      <w:pPr>
        <w:jc w:val="right"/>
        <w:rPr>
          <w:sz w:val="28"/>
          <w:szCs w:val="28"/>
        </w:rPr>
      </w:pPr>
    </w:p>
    <w:p w:rsidR="003C608D" w:rsidRDefault="003C608D" w:rsidP="003C608D">
      <w:pPr>
        <w:jc w:val="right"/>
        <w:rPr>
          <w:sz w:val="28"/>
          <w:szCs w:val="28"/>
        </w:rPr>
      </w:pPr>
    </w:p>
    <w:p w:rsidR="003C608D" w:rsidRDefault="003C608D" w:rsidP="003C608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C608D" w:rsidRDefault="003C608D" w:rsidP="003C608D">
      <w:pPr>
        <w:rPr>
          <w:sz w:val="28"/>
          <w:szCs w:val="28"/>
        </w:rPr>
      </w:pPr>
    </w:p>
    <w:p w:rsidR="003C608D" w:rsidRPr="0035038C" w:rsidRDefault="003C608D" w:rsidP="003C608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 Brně dne </w:t>
      </w:r>
      <w:proofErr w:type="gramStart"/>
      <w:r>
        <w:rPr>
          <w:sz w:val="28"/>
          <w:szCs w:val="28"/>
        </w:rPr>
        <w:t>17.12.2024</w:t>
      </w:r>
      <w:proofErr w:type="gramEnd"/>
    </w:p>
    <w:p w:rsidR="003C608D" w:rsidRPr="00D13610" w:rsidRDefault="003C608D" w:rsidP="003C608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C608D" w:rsidRPr="00063226" w:rsidRDefault="003C608D" w:rsidP="003C608D">
      <w:pPr>
        <w:rPr>
          <w:i/>
          <w:sz w:val="28"/>
          <w:szCs w:val="28"/>
        </w:rPr>
      </w:pPr>
      <w:r w:rsidRPr="00063226">
        <w:rPr>
          <w:i/>
          <w:sz w:val="28"/>
          <w:szCs w:val="28"/>
        </w:rPr>
        <w:lastRenderedPageBreak/>
        <w:t>Indikátor 1 a 2:</w:t>
      </w:r>
    </w:p>
    <w:p w:rsidR="003C608D" w:rsidRDefault="003C608D" w:rsidP="003C608D"/>
    <w:tbl>
      <w:tblPr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4"/>
        <w:gridCol w:w="3163"/>
      </w:tblGrid>
      <w:tr w:rsidR="003C608D" w:rsidRPr="00942DC4" w:rsidTr="00FD5095">
        <w:trPr>
          <w:trHeight w:val="300"/>
        </w:trPr>
        <w:tc>
          <w:tcPr>
            <w:tcW w:w="87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8D" w:rsidRPr="00942DC4" w:rsidRDefault="003C608D" w:rsidP="00FD5095">
            <w:pPr>
              <w:spacing w:before="120" w:after="120" w:line="240" w:lineRule="auto"/>
              <w:jc w:val="center"/>
              <w:rPr>
                <w:rFonts w:eastAsia="Times New Roman"/>
                <w:b/>
                <w:color w:val="000000"/>
                <w:sz w:val="32"/>
                <w:szCs w:val="32"/>
                <w:lang w:eastAsia="cs-CZ"/>
              </w:rPr>
            </w:pPr>
            <w:r w:rsidRPr="00942DC4">
              <w:rPr>
                <w:rFonts w:eastAsia="Times New Roman"/>
                <w:b/>
                <w:color w:val="000000"/>
                <w:sz w:val="32"/>
                <w:szCs w:val="32"/>
                <w:lang w:eastAsia="cs-CZ"/>
              </w:rPr>
              <w:t>Provedené výkony za rok 20</w:t>
            </w:r>
            <w:r>
              <w:rPr>
                <w:rFonts w:eastAsia="Times New Roman"/>
                <w:b/>
                <w:color w:val="000000"/>
                <w:sz w:val="32"/>
                <w:szCs w:val="32"/>
                <w:lang w:eastAsia="cs-CZ"/>
              </w:rPr>
              <w:t>23</w:t>
            </w:r>
          </w:p>
        </w:tc>
      </w:tr>
      <w:tr w:rsidR="003C608D" w:rsidRPr="00942DC4" w:rsidTr="00FD5095">
        <w:trPr>
          <w:trHeight w:val="300"/>
        </w:trPr>
        <w:tc>
          <w:tcPr>
            <w:tcW w:w="87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C608D" w:rsidRPr="00942DC4" w:rsidRDefault="003C608D" w:rsidP="00FD5095">
            <w:pPr>
              <w:spacing w:before="120" w:after="120" w:line="240" w:lineRule="auto"/>
              <w:jc w:val="center"/>
              <w:rPr>
                <w:rFonts w:eastAsia="Times New Roman"/>
                <w:b/>
                <w:color w:val="000000"/>
                <w:sz w:val="32"/>
                <w:szCs w:val="32"/>
                <w:lang w:eastAsia="cs-CZ"/>
              </w:rPr>
            </w:pPr>
          </w:p>
        </w:tc>
      </w:tr>
      <w:tr w:rsidR="003C608D" w:rsidRPr="00942DC4" w:rsidTr="00FD5095">
        <w:trPr>
          <w:trHeight w:val="300"/>
        </w:trPr>
        <w:tc>
          <w:tcPr>
            <w:tcW w:w="55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8D" w:rsidRDefault="003C608D" w:rsidP="00FD5095">
            <w:pPr>
              <w:spacing w:before="120" w:after="12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942DC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Neinvazivní video EEG</w:t>
            </w:r>
          </w:p>
          <w:p w:rsidR="003C608D" w:rsidRPr="00942DC4" w:rsidRDefault="003C608D" w:rsidP="00FD5095">
            <w:pPr>
              <w:spacing w:before="120" w:after="12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31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8D" w:rsidRDefault="003C608D" w:rsidP="00FD5095">
            <w:pPr>
              <w:spacing w:before="120" w:after="120" w:line="240" w:lineRule="auto"/>
              <w:ind w:right="-67"/>
              <w:jc w:val="right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343 </w:t>
            </w:r>
            <w:r w:rsidRPr="00942DC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dospělých</w:t>
            </w:r>
          </w:p>
          <w:p w:rsidR="003C608D" w:rsidRPr="00942DC4" w:rsidRDefault="003C608D" w:rsidP="00FD5095">
            <w:pPr>
              <w:spacing w:before="120" w:after="120" w:line="240" w:lineRule="auto"/>
              <w:ind w:right="-67"/>
              <w:jc w:val="right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1040 dětí</w:t>
            </w:r>
          </w:p>
        </w:tc>
      </w:tr>
      <w:tr w:rsidR="003C608D" w:rsidRPr="00942DC4" w:rsidTr="00FD5095">
        <w:trPr>
          <w:trHeight w:val="300"/>
        </w:trPr>
        <w:tc>
          <w:tcPr>
            <w:tcW w:w="5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C608D" w:rsidRPr="00942DC4" w:rsidRDefault="003C608D" w:rsidP="00FD5095">
            <w:pPr>
              <w:spacing w:before="120" w:after="120" w:line="240" w:lineRule="auto"/>
              <w:ind w:left="528"/>
              <w:rPr>
                <w:rFonts w:eastAsia="Times New Roman"/>
                <w:i/>
                <w:color w:val="808080"/>
                <w:sz w:val="28"/>
                <w:szCs w:val="28"/>
                <w:lang w:eastAsia="cs-CZ"/>
              </w:rPr>
            </w:pP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C608D" w:rsidRPr="00942DC4" w:rsidRDefault="003C608D" w:rsidP="00FD5095">
            <w:pPr>
              <w:spacing w:before="120" w:after="120" w:line="240" w:lineRule="auto"/>
              <w:ind w:right="350"/>
              <w:rPr>
                <w:rFonts w:eastAsia="Times New Roman"/>
                <w:i/>
                <w:color w:val="808080"/>
                <w:sz w:val="28"/>
                <w:szCs w:val="28"/>
                <w:lang w:eastAsia="cs-CZ"/>
              </w:rPr>
            </w:pPr>
          </w:p>
        </w:tc>
      </w:tr>
      <w:tr w:rsidR="003C608D" w:rsidRPr="00942DC4" w:rsidTr="00FD5095">
        <w:trPr>
          <w:trHeight w:val="300"/>
        </w:trPr>
        <w:tc>
          <w:tcPr>
            <w:tcW w:w="5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8D" w:rsidRPr="00942DC4" w:rsidRDefault="003C608D" w:rsidP="00FD5095">
            <w:pPr>
              <w:spacing w:before="120" w:after="12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Invazivní video EEG</w:t>
            </w:r>
            <w:r w:rsidRPr="00942DC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monitorace</w:t>
            </w:r>
          </w:p>
        </w:tc>
        <w:tc>
          <w:tcPr>
            <w:tcW w:w="31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8D" w:rsidRPr="00942DC4" w:rsidRDefault="003C608D" w:rsidP="00FD5095">
            <w:pPr>
              <w:spacing w:before="120" w:after="120" w:line="240" w:lineRule="auto"/>
              <w:ind w:right="-67"/>
              <w:jc w:val="right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10 dospělých </w:t>
            </w:r>
          </w:p>
        </w:tc>
      </w:tr>
    </w:tbl>
    <w:p w:rsidR="003C608D" w:rsidRDefault="003C608D" w:rsidP="003C608D">
      <w:pPr>
        <w:spacing w:before="120" w:after="120"/>
        <w:ind w:right="425" w:firstLine="708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 děti</w:t>
      </w:r>
    </w:p>
    <w:p w:rsidR="003C608D" w:rsidRDefault="003C608D" w:rsidP="003C608D">
      <w:pPr>
        <w:spacing w:before="120" w:after="120"/>
        <w:ind w:firstLine="708"/>
        <w:rPr>
          <w:sz w:val="28"/>
          <w:szCs w:val="28"/>
        </w:rPr>
      </w:pPr>
    </w:p>
    <w:p w:rsidR="003C608D" w:rsidRDefault="003C608D" w:rsidP="003C608D">
      <w:pPr>
        <w:spacing w:before="120" w:after="120"/>
        <w:ind w:firstLine="708"/>
        <w:rPr>
          <w:sz w:val="28"/>
          <w:szCs w:val="28"/>
        </w:rPr>
      </w:pPr>
    </w:p>
    <w:p w:rsidR="003C608D" w:rsidRPr="00063226" w:rsidRDefault="003C608D" w:rsidP="003C608D">
      <w:pPr>
        <w:rPr>
          <w:i/>
          <w:sz w:val="28"/>
          <w:szCs w:val="28"/>
        </w:rPr>
      </w:pPr>
      <w:r w:rsidRPr="00063226">
        <w:rPr>
          <w:i/>
          <w:sz w:val="28"/>
          <w:szCs w:val="28"/>
        </w:rPr>
        <w:t>Indikátor 3:</w:t>
      </w:r>
    </w:p>
    <w:p w:rsidR="003C608D" w:rsidRDefault="003C608D" w:rsidP="003C608D">
      <w:pPr>
        <w:spacing w:before="120" w:after="120"/>
        <w:ind w:firstLine="708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3"/>
        <w:gridCol w:w="3875"/>
        <w:gridCol w:w="2757"/>
      </w:tblGrid>
      <w:tr w:rsidR="003C608D" w:rsidRPr="00942DC4" w:rsidTr="00FD5095">
        <w:tc>
          <w:tcPr>
            <w:tcW w:w="8755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3C608D" w:rsidRPr="00942DC4" w:rsidRDefault="003C608D" w:rsidP="00FD5095">
            <w:pPr>
              <w:spacing w:before="120" w:after="120" w:line="240" w:lineRule="auto"/>
              <w:jc w:val="center"/>
              <w:rPr>
                <w:b/>
                <w:sz w:val="32"/>
                <w:szCs w:val="32"/>
              </w:rPr>
            </w:pPr>
            <w:proofErr w:type="spellStart"/>
            <w:r w:rsidRPr="00942DC4">
              <w:rPr>
                <w:b/>
                <w:sz w:val="32"/>
                <w:szCs w:val="32"/>
              </w:rPr>
              <w:t>Epileptochirurgické</w:t>
            </w:r>
            <w:proofErr w:type="spellEnd"/>
            <w:r w:rsidRPr="00942DC4">
              <w:rPr>
                <w:b/>
                <w:sz w:val="32"/>
                <w:szCs w:val="32"/>
              </w:rPr>
              <w:t xml:space="preserve"> výkony 20</w:t>
            </w:r>
            <w:r>
              <w:rPr>
                <w:b/>
                <w:sz w:val="32"/>
                <w:szCs w:val="32"/>
              </w:rPr>
              <w:t xml:space="preserve">23 celkem        </w:t>
            </w:r>
          </w:p>
        </w:tc>
      </w:tr>
      <w:tr w:rsidR="003C608D" w:rsidRPr="00093576" w:rsidTr="00FD5095">
        <w:tc>
          <w:tcPr>
            <w:tcW w:w="5998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3C608D" w:rsidRPr="00942DC4" w:rsidRDefault="003C608D" w:rsidP="00FD5095">
            <w:pPr>
              <w:spacing w:before="120" w:after="120" w:line="240" w:lineRule="auto"/>
              <w:rPr>
                <w:sz w:val="28"/>
                <w:szCs w:val="28"/>
              </w:rPr>
            </w:pPr>
            <w:r w:rsidRPr="00942DC4">
              <w:rPr>
                <w:sz w:val="28"/>
                <w:szCs w:val="28"/>
              </w:rPr>
              <w:t>Resekce</w:t>
            </w:r>
          </w:p>
        </w:tc>
        <w:tc>
          <w:tcPr>
            <w:tcW w:w="275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3C608D" w:rsidRDefault="003C608D" w:rsidP="00FD5095">
            <w:pPr>
              <w:spacing w:before="120" w:after="120" w:line="240" w:lineRule="auto"/>
              <w:ind w:right="-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dospělých</w:t>
            </w:r>
          </w:p>
          <w:p w:rsidR="003C608D" w:rsidRPr="003D5956" w:rsidRDefault="003C608D" w:rsidP="00FD5095">
            <w:pPr>
              <w:spacing w:before="120" w:after="120" w:line="240" w:lineRule="auto"/>
              <w:ind w:right="-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    dětí</w:t>
            </w:r>
          </w:p>
        </w:tc>
      </w:tr>
      <w:tr w:rsidR="003C608D" w:rsidRPr="00942DC4" w:rsidTr="00FD5095">
        <w:tc>
          <w:tcPr>
            <w:tcW w:w="59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C608D" w:rsidRPr="00942DC4" w:rsidRDefault="003C608D" w:rsidP="00FD5095">
            <w:pPr>
              <w:spacing w:before="120" w:after="120" w:line="240" w:lineRule="auto"/>
              <w:rPr>
                <w:sz w:val="28"/>
                <w:szCs w:val="28"/>
              </w:rPr>
            </w:pPr>
            <w:r w:rsidRPr="00942DC4">
              <w:rPr>
                <w:sz w:val="28"/>
                <w:szCs w:val="28"/>
              </w:rPr>
              <w:t>Stimulační zákroky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C608D" w:rsidRPr="00CA5173" w:rsidRDefault="003C608D" w:rsidP="00FD5095">
            <w:pPr>
              <w:spacing w:before="120" w:after="120" w:line="240" w:lineRule="auto"/>
              <w:ind w:right="-8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44 </w:t>
            </w:r>
            <w:r w:rsidRPr="00CA5173">
              <w:rPr>
                <w:color w:val="000000"/>
                <w:sz w:val="28"/>
                <w:szCs w:val="28"/>
              </w:rPr>
              <w:t xml:space="preserve">dospělých       </w:t>
            </w:r>
          </w:p>
          <w:p w:rsidR="003C608D" w:rsidRPr="00DA53CF" w:rsidRDefault="003C608D" w:rsidP="00FD5095">
            <w:pPr>
              <w:spacing w:before="120" w:after="120" w:line="240" w:lineRule="auto"/>
              <w:ind w:right="-80"/>
              <w:jc w:val="right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 </w:t>
            </w:r>
            <w:r w:rsidRPr="00CA5173">
              <w:rPr>
                <w:color w:val="000000"/>
                <w:sz w:val="28"/>
                <w:szCs w:val="28"/>
              </w:rPr>
              <w:t xml:space="preserve">dětí                  </w:t>
            </w:r>
          </w:p>
        </w:tc>
      </w:tr>
      <w:tr w:rsidR="003C608D" w:rsidRPr="00942DC4" w:rsidTr="00FD5095">
        <w:tc>
          <w:tcPr>
            <w:tcW w:w="212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C608D" w:rsidRPr="00942DC4" w:rsidRDefault="003C608D" w:rsidP="00FD5095">
            <w:pPr>
              <w:spacing w:before="120" w:after="120" w:line="240" w:lineRule="auto"/>
              <w:rPr>
                <w:i/>
                <w:color w:val="808080"/>
                <w:sz w:val="28"/>
                <w:szCs w:val="28"/>
              </w:rPr>
            </w:pPr>
            <w:r w:rsidRPr="00942DC4">
              <w:rPr>
                <w:i/>
                <w:color w:val="808080"/>
                <w:sz w:val="28"/>
                <w:szCs w:val="28"/>
              </w:rPr>
              <w:t>Z toho:</w:t>
            </w:r>
          </w:p>
        </w:tc>
        <w:tc>
          <w:tcPr>
            <w:tcW w:w="38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C608D" w:rsidRPr="00942DC4" w:rsidRDefault="003C608D" w:rsidP="00FD5095">
            <w:pPr>
              <w:spacing w:before="120" w:after="120" w:line="240" w:lineRule="auto"/>
              <w:rPr>
                <w:i/>
                <w:color w:val="808080"/>
                <w:sz w:val="28"/>
                <w:szCs w:val="28"/>
              </w:rPr>
            </w:pPr>
            <w:r w:rsidRPr="00942DC4">
              <w:rPr>
                <w:i/>
                <w:color w:val="808080"/>
                <w:sz w:val="28"/>
                <w:szCs w:val="28"/>
              </w:rPr>
              <w:t xml:space="preserve">VNS </w:t>
            </w:r>
            <w:proofErr w:type="spellStart"/>
            <w:r w:rsidRPr="00942DC4">
              <w:rPr>
                <w:i/>
                <w:color w:val="808080"/>
                <w:sz w:val="28"/>
                <w:szCs w:val="28"/>
              </w:rPr>
              <w:t>primoimplantace</w:t>
            </w:r>
            <w:proofErr w:type="spellEnd"/>
            <w:r>
              <w:rPr>
                <w:i/>
                <w:color w:val="808080"/>
                <w:sz w:val="28"/>
                <w:szCs w:val="28"/>
              </w:rPr>
              <w:t xml:space="preserve"> </w:t>
            </w:r>
          </w:p>
        </w:tc>
        <w:tc>
          <w:tcPr>
            <w:tcW w:w="27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C608D" w:rsidRDefault="003C608D" w:rsidP="00FD5095">
            <w:pPr>
              <w:spacing w:before="120" w:after="120" w:line="240" w:lineRule="auto"/>
              <w:ind w:right="-80"/>
              <w:jc w:val="right"/>
              <w:rPr>
                <w:i/>
                <w:color w:val="808080"/>
                <w:sz w:val="28"/>
                <w:szCs w:val="28"/>
              </w:rPr>
            </w:pPr>
            <w:r>
              <w:rPr>
                <w:i/>
                <w:color w:val="808080"/>
                <w:sz w:val="28"/>
                <w:szCs w:val="28"/>
              </w:rPr>
              <w:t>10 dospělých</w:t>
            </w:r>
          </w:p>
          <w:p w:rsidR="003C608D" w:rsidRPr="00942DC4" w:rsidRDefault="003C608D" w:rsidP="00FD5095">
            <w:pPr>
              <w:spacing w:before="120" w:after="120" w:line="240" w:lineRule="auto"/>
              <w:ind w:right="-80"/>
              <w:jc w:val="right"/>
              <w:rPr>
                <w:i/>
                <w:color w:val="808080"/>
                <w:sz w:val="28"/>
                <w:szCs w:val="28"/>
              </w:rPr>
            </w:pPr>
            <w:r>
              <w:rPr>
                <w:i/>
                <w:color w:val="808080"/>
                <w:sz w:val="28"/>
                <w:szCs w:val="28"/>
              </w:rPr>
              <w:t xml:space="preserve">    2  děti</w:t>
            </w:r>
          </w:p>
        </w:tc>
      </w:tr>
      <w:tr w:rsidR="003C608D" w:rsidRPr="00942DC4" w:rsidTr="00FD5095">
        <w:tc>
          <w:tcPr>
            <w:tcW w:w="212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C608D" w:rsidRPr="00942DC4" w:rsidRDefault="003C608D" w:rsidP="00FD5095">
            <w:pPr>
              <w:spacing w:before="120" w:after="120" w:line="240" w:lineRule="auto"/>
              <w:rPr>
                <w:i/>
                <w:color w:val="808080"/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C608D" w:rsidRPr="00942DC4" w:rsidRDefault="003C608D" w:rsidP="00FD5095">
            <w:pPr>
              <w:spacing w:before="120" w:after="120" w:line="240" w:lineRule="auto"/>
              <w:rPr>
                <w:i/>
                <w:color w:val="808080"/>
                <w:sz w:val="28"/>
                <w:szCs w:val="28"/>
              </w:rPr>
            </w:pPr>
            <w:r w:rsidRPr="00942DC4">
              <w:rPr>
                <w:i/>
                <w:color w:val="808080"/>
                <w:sz w:val="28"/>
                <w:szCs w:val="28"/>
              </w:rPr>
              <w:t>VNS reimplantace generátoru</w:t>
            </w:r>
          </w:p>
        </w:tc>
        <w:tc>
          <w:tcPr>
            <w:tcW w:w="27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C608D" w:rsidRDefault="003C608D" w:rsidP="00FD5095">
            <w:pPr>
              <w:spacing w:before="120" w:after="120" w:line="240" w:lineRule="auto"/>
              <w:ind w:right="-80"/>
              <w:jc w:val="right"/>
              <w:rPr>
                <w:i/>
                <w:color w:val="808080"/>
                <w:sz w:val="28"/>
                <w:szCs w:val="28"/>
              </w:rPr>
            </w:pPr>
            <w:r>
              <w:rPr>
                <w:i/>
                <w:color w:val="808080"/>
                <w:sz w:val="28"/>
                <w:szCs w:val="28"/>
              </w:rPr>
              <w:t>34 dospělých</w:t>
            </w:r>
          </w:p>
          <w:p w:rsidR="003C608D" w:rsidRPr="00942DC4" w:rsidRDefault="003C608D" w:rsidP="00FD5095">
            <w:pPr>
              <w:spacing w:before="120" w:after="120" w:line="240" w:lineRule="auto"/>
              <w:ind w:right="-80"/>
              <w:jc w:val="right"/>
              <w:rPr>
                <w:i/>
                <w:color w:val="808080"/>
                <w:sz w:val="28"/>
                <w:szCs w:val="28"/>
              </w:rPr>
            </w:pPr>
            <w:r>
              <w:rPr>
                <w:i/>
                <w:color w:val="808080"/>
                <w:sz w:val="28"/>
                <w:szCs w:val="28"/>
              </w:rPr>
              <w:t xml:space="preserve">     3  děti</w:t>
            </w:r>
          </w:p>
        </w:tc>
      </w:tr>
      <w:tr w:rsidR="003C608D" w:rsidRPr="00942DC4" w:rsidTr="00FD5095">
        <w:tc>
          <w:tcPr>
            <w:tcW w:w="212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3C608D" w:rsidRPr="00942DC4" w:rsidRDefault="003C608D" w:rsidP="00FD5095">
            <w:pPr>
              <w:spacing w:before="120" w:after="120" w:line="240" w:lineRule="auto"/>
              <w:rPr>
                <w:i/>
                <w:color w:val="808080"/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3C608D" w:rsidRPr="00942DC4" w:rsidRDefault="003C608D" w:rsidP="00FD5095">
            <w:pPr>
              <w:spacing w:before="120" w:after="120" w:line="240" w:lineRule="auto"/>
              <w:rPr>
                <w:i/>
                <w:color w:val="808080"/>
                <w:sz w:val="28"/>
                <w:szCs w:val="28"/>
              </w:rPr>
            </w:pPr>
            <w:r w:rsidRPr="00942DC4">
              <w:rPr>
                <w:i/>
                <w:color w:val="808080"/>
                <w:sz w:val="28"/>
                <w:szCs w:val="28"/>
              </w:rPr>
              <w:t>DBS</w:t>
            </w:r>
          </w:p>
        </w:tc>
        <w:tc>
          <w:tcPr>
            <w:tcW w:w="275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3C608D" w:rsidRPr="00942DC4" w:rsidRDefault="003C608D" w:rsidP="00FD5095">
            <w:pPr>
              <w:spacing w:before="120" w:after="120" w:line="240" w:lineRule="auto"/>
              <w:ind w:right="-80"/>
              <w:jc w:val="right"/>
              <w:rPr>
                <w:i/>
                <w:color w:val="808080"/>
                <w:sz w:val="28"/>
                <w:szCs w:val="28"/>
              </w:rPr>
            </w:pPr>
            <w:r>
              <w:rPr>
                <w:i/>
                <w:color w:val="808080"/>
                <w:sz w:val="28"/>
                <w:szCs w:val="28"/>
              </w:rPr>
              <w:t xml:space="preserve"> 0 dospělí</w:t>
            </w:r>
          </w:p>
        </w:tc>
      </w:tr>
    </w:tbl>
    <w:p w:rsidR="003C608D" w:rsidRDefault="003C608D" w:rsidP="003C608D">
      <w:pPr>
        <w:ind w:left="708" w:firstLine="708"/>
        <w:rPr>
          <w:sz w:val="28"/>
          <w:szCs w:val="28"/>
        </w:rPr>
      </w:pPr>
    </w:p>
    <w:p w:rsidR="003C608D" w:rsidRDefault="003C608D" w:rsidP="003C608D">
      <w:pPr>
        <w:rPr>
          <w:sz w:val="28"/>
          <w:szCs w:val="28"/>
        </w:rPr>
        <w:sectPr w:rsidR="003C608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C608D" w:rsidRPr="00063226" w:rsidRDefault="003C608D" w:rsidP="003C608D">
      <w:pPr>
        <w:rPr>
          <w:i/>
          <w:sz w:val="28"/>
          <w:szCs w:val="28"/>
        </w:rPr>
      </w:pPr>
      <w:r w:rsidRPr="00063226">
        <w:rPr>
          <w:i/>
          <w:sz w:val="28"/>
          <w:szCs w:val="28"/>
        </w:rPr>
        <w:lastRenderedPageBreak/>
        <w:t>Indikátor 4:</w:t>
      </w:r>
    </w:p>
    <w:tbl>
      <w:tblPr>
        <w:tblpPr w:leftFromText="141" w:rightFromText="141" w:vertAnchor="text" w:tblpY="1"/>
        <w:tblOverlap w:val="never"/>
        <w:tblW w:w="13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3"/>
        <w:gridCol w:w="960"/>
        <w:gridCol w:w="960"/>
        <w:gridCol w:w="960"/>
        <w:gridCol w:w="869"/>
        <w:gridCol w:w="1418"/>
        <w:gridCol w:w="850"/>
        <w:gridCol w:w="851"/>
        <w:gridCol w:w="812"/>
        <w:gridCol w:w="960"/>
        <w:gridCol w:w="960"/>
        <w:gridCol w:w="960"/>
        <w:gridCol w:w="960"/>
      </w:tblGrid>
      <w:tr w:rsidR="003C608D" w:rsidTr="00FD5095">
        <w:trPr>
          <w:trHeight w:val="684"/>
        </w:trPr>
        <w:tc>
          <w:tcPr>
            <w:tcW w:w="1365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C608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24"/>
                <w:lang w:eastAsia="cs-CZ"/>
              </w:rPr>
            </w:pPr>
            <w:r w:rsidRPr="00395293">
              <w:rPr>
                <w:rFonts w:eastAsia="Times New Roman"/>
                <w:b/>
                <w:color w:val="000000"/>
                <w:sz w:val="32"/>
                <w:szCs w:val="24"/>
                <w:lang w:eastAsia="cs-CZ"/>
              </w:rPr>
              <w:t>Hodnocení účinnosti resekčních výkonů</w:t>
            </w:r>
            <w:r w:rsidRPr="00395293">
              <w:rPr>
                <w:rFonts w:eastAsia="Times New Roman"/>
                <w:color w:val="000000"/>
                <w:sz w:val="32"/>
                <w:szCs w:val="24"/>
                <w:lang w:eastAsia="cs-CZ"/>
              </w:rPr>
              <w:t xml:space="preserve"> </w:t>
            </w:r>
          </w:p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4"/>
                <w:lang w:eastAsia="cs-CZ"/>
              </w:rPr>
              <w:t>(</w:t>
            </w:r>
            <w:r w:rsidRPr="00395293">
              <w:rPr>
                <w:rFonts w:eastAsia="Times New Roman"/>
                <w:color w:val="000000"/>
                <w:sz w:val="28"/>
                <w:szCs w:val="24"/>
                <w:lang w:eastAsia="cs-CZ"/>
              </w:rPr>
              <w:t xml:space="preserve">klasifikace dle </w:t>
            </w:r>
            <w:proofErr w:type="spellStart"/>
            <w:r w:rsidRPr="00395293">
              <w:rPr>
                <w:rFonts w:eastAsia="Times New Roman"/>
                <w:color w:val="000000"/>
                <w:sz w:val="28"/>
                <w:szCs w:val="24"/>
                <w:lang w:eastAsia="cs-CZ"/>
              </w:rPr>
              <w:t>Engela</w:t>
            </w:r>
            <w:proofErr w:type="spellEnd"/>
            <w:r w:rsidRPr="00395293">
              <w:rPr>
                <w:rFonts w:eastAsia="Times New Roman"/>
                <w:color w:val="000000"/>
                <w:sz w:val="28"/>
                <w:szCs w:val="24"/>
                <w:lang w:eastAsia="cs-CZ"/>
              </w:rPr>
              <w:t xml:space="preserve"> 2 roky od operace – počty pacientů</w:t>
            </w:r>
            <w:r>
              <w:rPr>
                <w:rFonts w:eastAsia="Times New Roman"/>
                <w:color w:val="000000"/>
                <w:sz w:val="28"/>
                <w:szCs w:val="24"/>
                <w:lang w:eastAsia="cs-CZ"/>
              </w:rPr>
              <w:t>)</w:t>
            </w:r>
          </w:p>
        </w:tc>
      </w:tr>
      <w:tr w:rsidR="003C608D" w:rsidTr="00FD5095">
        <w:trPr>
          <w:trHeight w:val="684"/>
        </w:trPr>
        <w:tc>
          <w:tcPr>
            <w:tcW w:w="21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C608D" w:rsidRPr="0058333D" w:rsidRDefault="003C608D" w:rsidP="00FD5095">
            <w:pPr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393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384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03376D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3C608D" w:rsidTr="00FD5095">
        <w:trPr>
          <w:trHeight w:val="68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C608D" w:rsidRPr="0058333D" w:rsidRDefault="003C608D" w:rsidP="00FD5095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III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IV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IV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58333D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58333D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58333D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III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58333D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IV</w:t>
            </w:r>
          </w:p>
        </w:tc>
      </w:tr>
      <w:tr w:rsidR="003C608D" w:rsidTr="00FD5095">
        <w:trPr>
          <w:trHeight w:val="684"/>
        </w:trPr>
        <w:tc>
          <w:tcPr>
            <w:tcW w:w="21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608D" w:rsidRPr="0058333D" w:rsidRDefault="003C608D" w:rsidP="00FD509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br w:type="page"/>
            </w:r>
            <w:r w:rsidRPr="0058333D">
              <w:rPr>
                <w:rFonts w:eastAsia="Times New Roman" w:cs="Arial"/>
                <w:sz w:val="24"/>
                <w:szCs w:val="24"/>
                <w:lang w:eastAsia="cs-CZ"/>
              </w:rPr>
              <w:t xml:space="preserve">temporální </w:t>
            </w:r>
            <w:proofErr w:type="spellStart"/>
            <w:r w:rsidRPr="0058333D">
              <w:rPr>
                <w:rFonts w:eastAsia="Times New Roman" w:cs="Arial"/>
                <w:sz w:val="24"/>
                <w:szCs w:val="24"/>
                <w:lang w:eastAsia="cs-CZ"/>
              </w:rPr>
              <w:t>lezionální</w:t>
            </w:r>
            <w:proofErr w:type="spellEnd"/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14</w:t>
            </w:r>
          </w:p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(1**, 1***)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3C608D" w:rsidTr="00FD5095">
        <w:trPr>
          <w:trHeight w:val="684"/>
        </w:trPr>
        <w:tc>
          <w:tcPr>
            <w:tcW w:w="2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608D" w:rsidRPr="0058333D" w:rsidRDefault="003C608D" w:rsidP="00FD509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8333D">
              <w:rPr>
                <w:rFonts w:eastAsia="Times New Roman" w:cs="Arial"/>
                <w:sz w:val="24"/>
                <w:szCs w:val="24"/>
                <w:lang w:eastAsia="cs-CZ"/>
              </w:rPr>
              <w:t xml:space="preserve">temporální </w:t>
            </w:r>
            <w:proofErr w:type="spellStart"/>
            <w:r w:rsidRPr="0058333D">
              <w:rPr>
                <w:rFonts w:eastAsia="Times New Roman" w:cs="Arial"/>
                <w:sz w:val="24"/>
                <w:szCs w:val="24"/>
                <w:lang w:eastAsia="cs-CZ"/>
              </w:rPr>
              <w:t>nelezionální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3C608D" w:rsidTr="00FD5095">
        <w:trPr>
          <w:trHeight w:val="684"/>
        </w:trPr>
        <w:tc>
          <w:tcPr>
            <w:tcW w:w="2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608D" w:rsidRPr="0058333D" w:rsidRDefault="003C608D" w:rsidP="00FD509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proofErr w:type="spellStart"/>
            <w:r w:rsidRPr="0058333D">
              <w:rPr>
                <w:rFonts w:eastAsia="Times New Roman" w:cs="Arial"/>
                <w:sz w:val="24"/>
                <w:szCs w:val="24"/>
                <w:lang w:eastAsia="cs-CZ"/>
              </w:rPr>
              <w:t>extratemporální</w:t>
            </w:r>
            <w:proofErr w:type="spellEnd"/>
            <w:r w:rsidRPr="0058333D">
              <w:rPr>
                <w:rFonts w:eastAsia="Times New Roman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8333D">
              <w:rPr>
                <w:rFonts w:eastAsia="Times New Roman" w:cs="Arial"/>
                <w:sz w:val="24"/>
                <w:szCs w:val="24"/>
                <w:lang w:eastAsia="cs-CZ"/>
              </w:rPr>
              <w:t>lezionální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C555DF" w:rsidRDefault="003C608D" w:rsidP="00FD5095">
            <w:pPr>
              <w:jc w:val="center"/>
              <w:rPr>
                <w:rFonts w:eastAsia="Times New Roman" w:cs="Arial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C555DF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1</w:t>
            </w:r>
          </w:p>
        </w:tc>
      </w:tr>
      <w:tr w:rsidR="003C608D" w:rsidTr="00FD5095">
        <w:trPr>
          <w:trHeight w:val="684"/>
        </w:trPr>
        <w:tc>
          <w:tcPr>
            <w:tcW w:w="2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608D" w:rsidRPr="0058333D" w:rsidRDefault="003C608D" w:rsidP="00FD509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proofErr w:type="spellStart"/>
            <w:r w:rsidRPr="0058333D">
              <w:rPr>
                <w:rFonts w:eastAsia="Times New Roman" w:cs="Arial"/>
                <w:sz w:val="24"/>
                <w:szCs w:val="24"/>
                <w:lang w:eastAsia="cs-CZ"/>
              </w:rPr>
              <w:t>extratemporální</w:t>
            </w:r>
            <w:proofErr w:type="spellEnd"/>
            <w:r w:rsidRPr="0058333D">
              <w:rPr>
                <w:rFonts w:eastAsia="Times New Roman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8333D">
              <w:rPr>
                <w:rFonts w:eastAsia="Times New Roman" w:cs="Arial"/>
                <w:sz w:val="24"/>
                <w:szCs w:val="24"/>
                <w:lang w:eastAsia="cs-CZ"/>
              </w:rPr>
              <w:t>nelezionální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3C608D" w:rsidTr="00FD5095">
        <w:trPr>
          <w:trHeight w:val="684"/>
        </w:trPr>
        <w:tc>
          <w:tcPr>
            <w:tcW w:w="2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608D" w:rsidRPr="0058333D" w:rsidRDefault="003C608D" w:rsidP="00FD509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proofErr w:type="spellStart"/>
            <w:r w:rsidRPr="0058333D">
              <w:rPr>
                <w:rFonts w:eastAsia="Times New Roman" w:cs="Arial"/>
                <w:sz w:val="24"/>
                <w:szCs w:val="24"/>
                <w:lang w:eastAsia="cs-CZ"/>
              </w:rPr>
              <w:t>multilobární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C555DF" w:rsidRDefault="003C608D" w:rsidP="00FD5095">
            <w:pPr>
              <w:spacing w:after="0"/>
              <w:jc w:val="center"/>
              <w:rPr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C555DF" w:rsidRDefault="003C608D" w:rsidP="00FD5095">
            <w:pPr>
              <w:spacing w:after="0"/>
              <w:rPr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3C608D" w:rsidRPr="0058333D" w:rsidRDefault="003C608D" w:rsidP="00FD5095">
            <w:pPr>
              <w:spacing w:after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3</w:t>
            </w:r>
          </w:p>
        </w:tc>
      </w:tr>
      <w:tr w:rsidR="003C608D" w:rsidTr="00FD5095">
        <w:trPr>
          <w:trHeight w:val="684"/>
        </w:trPr>
        <w:tc>
          <w:tcPr>
            <w:tcW w:w="2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C608D" w:rsidRPr="0058333D" w:rsidRDefault="003C608D" w:rsidP="00FD509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proofErr w:type="spellStart"/>
            <w:r w:rsidRPr="0058333D">
              <w:rPr>
                <w:rFonts w:eastAsia="Times New Roman" w:cs="Arial"/>
                <w:sz w:val="24"/>
                <w:szCs w:val="24"/>
                <w:lang w:eastAsia="cs-CZ"/>
              </w:rPr>
              <w:t>hemisferektomie</w:t>
            </w:r>
            <w:proofErr w:type="spellEnd"/>
            <w:r w:rsidRPr="0058333D">
              <w:rPr>
                <w:rFonts w:eastAsia="Times New Roman" w:cs="Arial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C608D" w:rsidRPr="00C555DF" w:rsidRDefault="003C608D" w:rsidP="00FD5095">
            <w:pPr>
              <w:spacing w:after="0"/>
              <w:jc w:val="center"/>
              <w:rPr>
                <w:sz w:val="24"/>
                <w:szCs w:val="24"/>
                <w:highlight w:val="yellow"/>
                <w:lang w:eastAsia="cs-CZ"/>
              </w:rPr>
            </w:pPr>
            <w:r w:rsidRPr="00B92BDD">
              <w:rPr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C608D" w:rsidRPr="00C555DF" w:rsidRDefault="003C608D" w:rsidP="00FD5095">
            <w:pPr>
              <w:spacing w:after="0"/>
              <w:jc w:val="center"/>
              <w:rPr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C608D" w:rsidRPr="0058333D" w:rsidRDefault="003C608D" w:rsidP="00FD509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</w:tbl>
    <w:p w:rsidR="003C608D" w:rsidRDefault="003C608D" w:rsidP="003C608D"/>
    <w:p w:rsidR="003C608D" w:rsidRDefault="003C608D" w:rsidP="003C608D">
      <w:r>
        <w:t xml:space="preserve">*Pacienta nelze validně hodnotit, resekční výkon vedl k ukončení epileptického </w:t>
      </w:r>
      <w:proofErr w:type="spellStart"/>
      <w:r>
        <w:t>statu</w:t>
      </w:r>
      <w:proofErr w:type="spellEnd"/>
      <w:r>
        <w:t xml:space="preserve">, ale následně exitus </w:t>
      </w:r>
      <w:proofErr w:type="spellStart"/>
      <w:r>
        <w:t>letalis</w:t>
      </w:r>
      <w:proofErr w:type="spellEnd"/>
      <w:r>
        <w:t xml:space="preserve"> z jiné příčiny než epilepsie.</w:t>
      </w:r>
    </w:p>
    <w:p w:rsidR="003C608D" w:rsidRDefault="003C608D" w:rsidP="003C608D">
      <w:r>
        <w:t xml:space="preserve">**Pacienta nelze validně hodnotit, resekční výkon vedl k vymizení záchvatů, ale následně exitus </w:t>
      </w:r>
      <w:proofErr w:type="spellStart"/>
      <w:r>
        <w:t>letalis</w:t>
      </w:r>
      <w:proofErr w:type="spellEnd"/>
      <w:r>
        <w:t xml:space="preserve"> z jiné příčiny než epilepsie.</w:t>
      </w:r>
    </w:p>
    <w:p w:rsidR="003C608D" w:rsidRDefault="003C608D" w:rsidP="003C608D">
      <w:pPr>
        <w:sectPr w:rsidR="003C608D" w:rsidSect="00B119E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*** Pacienta nelze validně hodnotit, resekční výkon vedl k vymizení záchvatů, ale následně exitus </w:t>
      </w:r>
      <w:proofErr w:type="spellStart"/>
      <w:r>
        <w:t>letalis</w:t>
      </w:r>
      <w:proofErr w:type="spellEnd"/>
      <w:r>
        <w:t xml:space="preserve"> (sebevražda).</w:t>
      </w:r>
    </w:p>
    <w:p w:rsidR="003C608D" w:rsidRPr="003C608D" w:rsidRDefault="003C608D" w:rsidP="003C608D">
      <w:pPr>
        <w:rPr>
          <w:i/>
          <w:sz w:val="28"/>
          <w:szCs w:val="28"/>
        </w:rPr>
      </w:pPr>
      <w:r w:rsidRPr="003C608D">
        <w:rPr>
          <w:i/>
          <w:sz w:val="28"/>
          <w:szCs w:val="28"/>
        </w:rPr>
        <w:lastRenderedPageBreak/>
        <w:t xml:space="preserve">Indikátor 5: </w:t>
      </w:r>
    </w:p>
    <w:p w:rsidR="003C608D" w:rsidRDefault="003C608D" w:rsidP="003C608D">
      <w:pPr>
        <w:rPr>
          <w:sz w:val="28"/>
          <w:szCs w:val="28"/>
        </w:rPr>
      </w:pPr>
    </w:p>
    <w:tbl>
      <w:tblPr>
        <w:tblW w:w="85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080"/>
        <w:gridCol w:w="3880"/>
      </w:tblGrid>
      <w:tr w:rsidR="003C608D" w:rsidRPr="00BF08B5" w:rsidTr="00FD5095">
        <w:trPr>
          <w:trHeight w:val="680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08D" w:rsidRPr="00063226" w:rsidRDefault="003C608D" w:rsidP="003C608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4"/>
                <w:lang w:eastAsia="cs-CZ"/>
              </w:rPr>
            </w:pPr>
            <w:r w:rsidRPr="00395293">
              <w:rPr>
                <w:rFonts w:eastAsia="Times New Roman"/>
                <w:b/>
                <w:bCs/>
                <w:sz w:val="28"/>
                <w:szCs w:val="24"/>
                <w:lang w:eastAsia="cs-CZ"/>
              </w:rPr>
              <w:t>Počet vyšetřených pacientů a počet nových pacientů s jednotlivými typy vzácných epilepsií dle registru</w:t>
            </w:r>
          </w:p>
        </w:tc>
      </w:tr>
      <w:tr w:rsidR="003C608D" w:rsidRPr="00BF08B5" w:rsidTr="00FD5095">
        <w:trPr>
          <w:trHeight w:val="33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08D" w:rsidRPr="006A20BC" w:rsidRDefault="003C608D" w:rsidP="00FD5095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6A20BC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Typ epilepsie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8D" w:rsidRPr="006A20BC" w:rsidRDefault="003C608D" w:rsidP="00FD5095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6A20BC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Vyšetřených 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8D" w:rsidRPr="006A20BC" w:rsidRDefault="003C608D" w:rsidP="00FD5095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6A20BC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Nově diagnostikovaných </w:t>
            </w:r>
          </w:p>
        </w:tc>
      </w:tr>
      <w:tr w:rsidR="003C608D" w:rsidRPr="00BF08B5" w:rsidTr="00FD5095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08D" w:rsidRPr="00BF08B5" w:rsidRDefault="003C608D" w:rsidP="00FD509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BF08B5">
              <w:rPr>
                <w:rFonts w:eastAsia="Times New Roman"/>
                <w:sz w:val="24"/>
                <w:szCs w:val="24"/>
                <w:lang w:eastAsia="cs-CZ"/>
              </w:rPr>
              <w:t>Genetická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8D" w:rsidRPr="00BF08B5" w:rsidRDefault="003C608D" w:rsidP="00FD5095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458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08D" w:rsidRPr="00BF08B5" w:rsidRDefault="003C608D" w:rsidP="00FD5095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67</w:t>
            </w:r>
          </w:p>
        </w:tc>
      </w:tr>
      <w:tr w:rsidR="003C608D" w:rsidRPr="00BF08B5" w:rsidTr="00FD5095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08D" w:rsidRPr="00BF08B5" w:rsidRDefault="003C608D" w:rsidP="00FD509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BF08B5">
              <w:rPr>
                <w:rFonts w:eastAsia="Times New Roman"/>
                <w:sz w:val="24"/>
                <w:szCs w:val="24"/>
                <w:lang w:eastAsia="cs-CZ"/>
              </w:rPr>
              <w:t>Strukturální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8D" w:rsidRPr="00BF08B5" w:rsidRDefault="003C608D" w:rsidP="00FD5095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673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08D" w:rsidRPr="00BF08B5" w:rsidRDefault="003C608D" w:rsidP="00FD5095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84</w:t>
            </w:r>
          </w:p>
        </w:tc>
      </w:tr>
      <w:tr w:rsidR="003C608D" w:rsidRPr="00BF08B5" w:rsidTr="00FD5095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08D" w:rsidRPr="00BF08B5" w:rsidRDefault="003C608D" w:rsidP="00FD509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BF08B5">
              <w:rPr>
                <w:rFonts w:eastAsia="Times New Roman"/>
                <w:sz w:val="24"/>
                <w:szCs w:val="24"/>
                <w:lang w:eastAsia="cs-CZ"/>
              </w:rPr>
              <w:t>Infekční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8D" w:rsidRPr="00BF08B5" w:rsidRDefault="003C608D" w:rsidP="00FD5095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08D" w:rsidRPr="00BF08B5" w:rsidRDefault="003C608D" w:rsidP="00FD5095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11</w:t>
            </w:r>
          </w:p>
        </w:tc>
      </w:tr>
      <w:tr w:rsidR="003C608D" w:rsidRPr="00BF08B5" w:rsidTr="00FD5095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08D" w:rsidRPr="00BF08B5" w:rsidRDefault="003C608D" w:rsidP="00FD509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BF08B5">
              <w:rPr>
                <w:rFonts w:eastAsia="Times New Roman"/>
                <w:sz w:val="24"/>
                <w:szCs w:val="24"/>
                <w:lang w:eastAsia="cs-CZ"/>
              </w:rPr>
              <w:t>Autoimunní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8D" w:rsidRPr="00BF08B5" w:rsidRDefault="003C608D" w:rsidP="00FD5095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08D" w:rsidRPr="00BF08B5" w:rsidRDefault="003C608D" w:rsidP="00FD5095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13</w:t>
            </w:r>
          </w:p>
        </w:tc>
      </w:tr>
      <w:tr w:rsidR="003C608D" w:rsidRPr="00BF08B5" w:rsidTr="00FD5095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08D" w:rsidRPr="00BF08B5" w:rsidRDefault="003C608D" w:rsidP="00FD509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BF08B5">
              <w:rPr>
                <w:rFonts w:eastAsia="Times New Roman"/>
                <w:sz w:val="24"/>
                <w:szCs w:val="24"/>
                <w:lang w:eastAsia="cs-CZ"/>
              </w:rPr>
              <w:t>Metabolická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8D" w:rsidRPr="00BF08B5" w:rsidRDefault="003C608D" w:rsidP="00FD5095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08D" w:rsidRPr="00BF08B5" w:rsidRDefault="003C608D" w:rsidP="00FD5095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9</w:t>
            </w:r>
          </w:p>
        </w:tc>
      </w:tr>
    </w:tbl>
    <w:p w:rsidR="003C608D" w:rsidRPr="009132AF" w:rsidRDefault="003C608D" w:rsidP="003C608D">
      <w:pPr>
        <w:rPr>
          <w:sz w:val="28"/>
          <w:szCs w:val="28"/>
        </w:rPr>
      </w:pPr>
    </w:p>
    <w:p w:rsidR="00E27736" w:rsidRDefault="004543ED">
      <w:bookmarkStart w:id="0" w:name="_GoBack"/>
      <w:bookmarkEnd w:id="0"/>
    </w:p>
    <w:sectPr w:rsidR="00E2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8D"/>
    <w:rsid w:val="00063E2B"/>
    <w:rsid w:val="003C608D"/>
    <w:rsid w:val="004543ED"/>
    <w:rsid w:val="0087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EB7E"/>
  <w15:chartTrackingRefBased/>
  <w15:docId w15:val="{829A2E5E-5A4A-443C-BCAC-128AB73C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608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</dc:creator>
  <cp:keywords/>
  <dc:description/>
  <cp:lastModifiedBy>uziv</cp:lastModifiedBy>
  <cp:revision>1</cp:revision>
  <dcterms:created xsi:type="dcterms:W3CDTF">2024-12-17T09:20:00Z</dcterms:created>
  <dcterms:modified xsi:type="dcterms:W3CDTF">2024-12-17T14:24:00Z</dcterms:modified>
</cp:coreProperties>
</file>