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0328517"/>
    <w:p w14:paraId="64E29002" w14:textId="01F95AF7" w:rsidR="001D2E32" w:rsidRDefault="007461AF" w:rsidP="001D2E3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5623787E" wp14:editId="070506AA">
                <wp:simplePos x="0" y="0"/>
                <wp:positionH relativeFrom="margin">
                  <wp:posOffset>4709795</wp:posOffset>
                </wp:positionH>
                <wp:positionV relativeFrom="page">
                  <wp:posOffset>471170</wp:posOffset>
                </wp:positionV>
                <wp:extent cx="1943100" cy="889000"/>
                <wp:effectExtent l="0" t="0" r="0" b="6350"/>
                <wp:wrapNone/>
                <wp:docPr id="70110237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FA0A" w14:textId="77777777" w:rsidR="00480826" w:rsidRPr="003A3E66" w:rsidRDefault="00480826" w:rsidP="00480826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INTERNÍ GASTROENTEROLOGICKÁ KLINIKA</w:t>
                            </w:r>
                          </w:p>
                          <w:p w14:paraId="26BE72C5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345C3B5" w14:textId="77777777" w:rsidR="007461AF" w:rsidRPr="00057BDD" w:rsidRDefault="007461AF" w:rsidP="007461AF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057BDD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Sekretariát:</w:t>
                            </w:r>
                          </w:p>
                          <w:p w14:paraId="5671F648" w14:textId="388A1B8E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Tel.: </w:t>
                            </w:r>
                            <w:r w:rsidR="0048082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532 233 500</w:t>
                            </w:r>
                          </w:p>
                          <w:p w14:paraId="6D0207FD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2378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70.85pt;margin-top:37.1pt;width:153pt;height:70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THx3QEAAKEDAAAOAAAAZHJzL2Uyb0RvYy54bWysU8GO0zAQvSPxD5bvNEkp0EZNV8uuFiEt&#10;C9LCBziOnVgkHjN2m5SvZ+x0uwVuiIs19kzezHvzsr2ahp4dFHoDtuLFIudMWQmNsW3Fv329e7Xm&#10;zAdhG9GDVRU/Ks+vdi9fbEdXqiV00DcKGYFYX46u4l0IrswyLzs1CL8ApywlNeAgAl2xzRoUI6EP&#10;fbbM87fZCNg4BKm8p9fbOcl3CV9rJcNnrb0KrK84zRbSiems45nttqJsUbjOyNMY4h+mGISx1PQM&#10;dSuCYHs0f0ENRiJ40GEhYchAayNV4kBsivwPNo+dcCpxIXG8O8vk/x+sfDg8ui/IwvQeJlpgIuHd&#10;Pcjvnlm46YRt1TUijJ0SDTUuomTZ6Hx5+jRK7UsfQerxEzS0ZLEPkIAmjUNUhXgyQqcFHM+iqykw&#10;GVtuVq+LnFKScuv1Jqc4thDl09cOffigYGAxqDjSUhO6ONz7MJc+lcRmFu5M36fF9va3B8KML2n6&#10;OPA8epjqiaojixqaI/FAmH1CvqagA/zJ2Ugeqbj/sReoOOs/WtJiU6xW0VTpsnrzbkkXvMzUlxlh&#10;JUFVPHA2hzdhNuLeoWk76jSrb+Ga9NMmUXue6jQ3+SCJc/JsNNrlPVU9/1m7XwAAAP//AwBQSwME&#10;FAAGAAgAAAAhAB68LFrdAAAACwEAAA8AAABkcnMvZG93bnJldi54bWxMj0FPwzAMhe9I/IfISNxY&#10;0qpQKE0nBOIKYsCk3bLGaysap2qytfx73BO72e89PX8u17PrxQnH0HnSkKwUCKTa244aDV+frzf3&#10;IEI0ZE3vCTX8YoB1dXlRmsL6iT7wtImN4BIKhdHQxjgUUoa6RWfCyg9I7B386EzkdWykHc3E5a6X&#10;qVJ30pmO+EJrBnxusf7ZHJ2G77fDbpup9+bF3Q6Tn5Uk9yC1vr6anx5BRJzjfxgWfEaHipn2/kg2&#10;iF5DniU5R5chBbEEVJazsteQJizJqpTnP1R/AAAA//8DAFBLAQItABQABgAIAAAAIQC2gziS/gAA&#10;AOEBAAATAAAAAAAAAAAAAAAAAAAAAABbQ29udGVudF9UeXBlc10ueG1sUEsBAi0AFAAGAAgAAAAh&#10;ADj9If/WAAAAlAEAAAsAAAAAAAAAAAAAAAAALwEAAF9yZWxzLy5yZWxzUEsBAi0AFAAGAAgAAAAh&#10;AMOJMfHdAQAAoQMAAA4AAAAAAAAAAAAAAAAALgIAAGRycy9lMm9Eb2MueG1sUEsBAi0AFAAGAAgA&#10;AAAhAB68LFrdAAAACwEAAA8AAAAAAAAAAAAAAAAANwQAAGRycy9kb3ducmV2LnhtbFBLBQYAAAAA&#10;BAAEAPMAAABBBQAAAAA=&#10;" filled="f" stroked="f">
                <v:textbox>
                  <w:txbxContent>
                    <w:p w14:paraId="2636FA0A" w14:textId="77777777" w:rsidR="00480826" w:rsidRPr="003A3E66" w:rsidRDefault="00480826" w:rsidP="00480826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INTERNÍ GASTROENTEROLOGICKÁ KLINIKA</w:t>
                      </w:r>
                    </w:p>
                    <w:p w14:paraId="26BE72C5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7345C3B5" w14:textId="77777777" w:rsidR="007461AF" w:rsidRPr="00057BDD" w:rsidRDefault="007461AF" w:rsidP="007461AF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057BDD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Sekretariát:</w:t>
                      </w:r>
                    </w:p>
                    <w:p w14:paraId="5671F648" w14:textId="388A1B8E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Tel.: </w:t>
                      </w:r>
                      <w:r w:rsidR="00480826">
                        <w:rPr>
                          <w:rFonts w:ascii="Arial" w:hAnsi="Arial" w:cs="Arial"/>
                          <w:sz w:val="14"/>
                          <w:szCs w:val="14"/>
                        </w:rPr>
                        <w:t>532 233 500</w:t>
                      </w:r>
                    </w:p>
                    <w:p w14:paraId="6D0207FD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1D2E32">
        <w:rPr>
          <w:noProof/>
        </w:rPr>
        <w:drawing>
          <wp:anchor distT="0" distB="0" distL="114300" distR="114300" simplePos="0" relativeHeight="251664384" behindDoc="1" locked="0" layoutInCell="1" allowOverlap="0" wp14:anchorId="62BB81F4" wp14:editId="68B95366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2779395" cy="1202690"/>
            <wp:effectExtent l="0" t="0" r="1905" b="0"/>
            <wp:wrapNone/>
            <wp:docPr id="24" name="obrázek 24" descr="Obsah obrázku text, Písmo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ázek 24" descr="Obsah obrázku text, Písmo, logo, Grafika&#10;&#10;Obsah generovaný pomocí AI může být nesprávný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68B911B" wp14:editId="6A8EF9B0">
                <wp:simplePos x="0" y="0"/>
                <wp:positionH relativeFrom="column">
                  <wp:posOffset>2503805</wp:posOffset>
                </wp:positionH>
                <wp:positionV relativeFrom="page">
                  <wp:posOffset>476250</wp:posOffset>
                </wp:positionV>
                <wp:extent cx="1962150" cy="1000125"/>
                <wp:effectExtent l="0" t="0" r="0" b="9525"/>
                <wp:wrapNone/>
                <wp:docPr id="208062359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950C2" w14:textId="77777777" w:rsidR="001D2E32" w:rsidRPr="009663DB" w:rsidRDefault="001D2E32" w:rsidP="001D2E32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9663DB"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FAKULTNÍ NEMOCNICE BRNO</w:t>
                            </w:r>
                          </w:p>
                          <w:p w14:paraId="3EBBF5A6" w14:textId="77777777" w:rsidR="001D2E32" w:rsidRPr="00601858" w:rsidRDefault="001D2E32" w:rsidP="001D2E32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BCBAC9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Jihl</w:t>
                            </w:r>
                            <w:r w:rsidRPr="009663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avská 20, 625 00 Brno</w:t>
                            </w:r>
                          </w:p>
                          <w:p w14:paraId="5FA9A533" w14:textId="11F0558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IČO 652 69</w:t>
                            </w:r>
                            <w:r w:rsidR="00FF2F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705</w:t>
                            </w:r>
                          </w:p>
                          <w:p w14:paraId="0A338F24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</w:p>
                          <w:p w14:paraId="6330C551" w14:textId="1E0F0C0B" w:rsidR="001D2E32" w:rsidRPr="00E44061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PRACOVI</w:t>
                            </w:r>
                            <w:r w:rsidR="00FF2F3D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Š</w:t>
                            </w: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 xml:space="preserve">TĚ NEMOCNICE BOHUNICE </w:t>
                            </w:r>
                          </w:p>
                          <w:p w14:paraId="610EAE7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A PORODNICE</w:t>
                            </w:r>
                          </w:p>
                          <w:p w14:paraId="0B48A0C5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8B911B" id="Text Box 20" o:spid="_x0000_s1027" type="#_x0000_t202" style="position:absolute;margin-left:197.15pt;margin-top:37.5pt;width:154.5pt;height:7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kMa4gEAAKkDAAAOAAAAZHJzL2Uyb0RvYy54bWysU11v1DAQfEfiP1h+5/Khu0Kjy1WlVRFS&#10;oUiFH+A4TmKReM3ad8nx61k76fWAt6ovlu11ZmdmJ9uraejZQaHTYEqerVLOlJFQa9OW/Mf3u3cf&#10;OHNemFr0YFTJj8rxq93bN9vRFiqHDvpaISMQ44rRlrzz3hZJ4mSnBuFWYJWhYgM4CE9HbJMaxUjo&#10;Q5/kaXqRjIC1RZDKObq9nYt8F/GbRkn/0DROedaXnLj5uGJcq7Amu60oWhS203KhIV7AYhDaUNMT&#10;1K3wgu1R/wc1aIngoPErCUMCTaOlihpITZb+o+axE1ZFLWSOsyeb3OvByq+HR/sNmZ8+wkQDjCKc&#10;vQf50zEDN50wrbpGhLFToqbGWbAsGa0rlk+D1a5wAaQav0BNQxZ7DxFoanAIrpBORug0gOPJdDV5&#10;JkPLy4s821BJUi1L0zTLN7GHKJ4+t+j8JwUDC5uSI001wovDvfOBjiienoRuBu5038fJ9uavC3oY&#10;biL9wHjm7qdqYrpetAU1FdRH0oMw54XyTZsO8DdnI2Wl5O7XXqDirP9syJPLbL0O4YqH9eZ9Tgc8&#10;r1TnFWEkQZXcczZvb/wcyL1F3XbUaZ6CgWvysdFR4TOrhT7lIQpfshsCd36Or57/sN0fAAAA//8D&#10;AFBLAwQUAAYACAAAACEATaegCd4AAAAKAQAADwAAAGRycy9kb3ducmV2LnhtbEyPTU/DMAyG70j8&#10;h8hI3FhCuzJW6k4IxBW08SFxy1qvrWicqsnW8u8xJzjafvT6eYvN7Hp1ojF0nhGuFwYUceXrjhuE&#10;t9enq1tQIVqube+ZEL4pwKY8PytsXvuJt3TaxUZJCIfcIrQxDrnWoWrJ2bDwA7HcDn50Nso4Nroe&#10;7SThrteJMTfa2Y7lQ2sHemip+todHcL78+HzY2lemkeXDZOfjWa31oiXF/P9HahIc/yD4Vdf1KEU&#10;p70/ch1Uj5Cul6mgCKtMOgmwMqks9ghJmmSgy0L/r1D+AAAA//8DAFBLAQItABQABgAIAAAAIQC2&#10;gziS/gAAAOEBAAATAAAAAAAAAAAAAAAAAAAAAABbQ29udGVudF9UeXBlc10ueG1sUEsBAi0AFAAG&#10;AAgAAAAhADj9If/WAAAAlAEAAAsAAAAAAAAAAAAAAAAALwEAAF9yZWxzLy5yZWxzUEsBAi0AFAAG&#10;AAgAAAAhAPi+QxriAQAAqQMAAA4AAAAAAAAAAAAAAAAALgIAAGRycy9lMm9Eb2MueG1sUEsBAi0A&#10;FAAGAAgAAAAhAE2noAneAAAACgEAAA8AAAAAAAAAAAAAAAAAPAQAAGRycy9kb3ducmV2LnhtbFBL&#10;BQYAAAAABAAEAPMAAABHBQAAAAA=&#10;" filled="f" stroked="f">
                <v:textbox>
                  <w:txbxContent>
                    <w:p w14:paraId="329950C2" w14:textId="77777777" w:rsidR="001D2E32" w:rsidRPr="009663DB" w:rsidRDefault="001D2E32" w:rsidP="001D2E32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 w:rsidRPr="009663DB"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FAKULTNÍ NEMOCNICE BRNO</w:t>
                      </w:r>
                    </w:p>
                    <w:p w14:paraId="3EBBF5A6" w14:textId="77777777" w:rsidR="001D2E32" w:rsidRPr="00601858" w:rsidRDefault="001D2E32" w:rsidP="001D2E32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  <w:p w14:paraId="4BCBAC9B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Jihl</w:t>
                      </w:r>
                      <w:r w:rsidRPr="009663DB">
                        <w:rPr>
                          <w:rFonts w:ascii="Arial" w:hAnsi="Arial" w:cs="Arial"/>
                          <w:sz w:val="14"/>
                          <w:szCs w:val="14"/>
                        </w:rPr>
                        <w:t>avská 20, 625 00 Brno</w:t>
                      </w:r>
                    </w:p>
                    <w:p w14:paraId="5FA9A533" w14:textId="11F0558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IČO 652 69</w:t>
                      </w:r>
                      <w:r w:rsidR="00FF2F3D">
                        <w:rPr>
                          <w:rFonts w:ascii="Arial" w:hAnsi="Arial" w:cs="Arial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705</w:t>
                      </w:r>
                    </w:p>
                    <w:p w14:paraId="0A338F24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</w:p>
                    <w:p w14:paraId="6330C551" w14:textId="1E0F0C0B" w:rsidR="001D2E32" w:rsidRPr="00E44061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PRACOVI</w:t>
                      </w:r>
                      <w:r w:rsidR="00FF2F3D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Š</w:t>
                      </w: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 xml:space="preserve">TĚ NEMOCNICE BOHUNICE </w:t>
                      </w:r>
                    </w:p>
                    <w:p w14:paraId="610EAE7B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A PORODNICE</w:t>
                      </w:r>
                    </w:p>
                    <w:p w14:paraId="0B48A0C5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4A34522A" wp14:editId="001F48F0">
                <wp:simplePos x="0" y="0"/>
                <wp:positionH relativeFrom="column">
                  <wp:posOffset>4522470</wp:posOffset>
                </wp:positionH>
                <wp:positionV relativeFrom="page">
                  <wp:posOffset>528320</wp:posOffset>
                </wp:positionV>
                <wp:extent cx="179705" cy="179705"/>
                <wp:effectExtent l="0" t="0" r="1905" b="3810"/>
                <wp:wrapNone/>
                <wp:docPr id="46374575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258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722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F17351D" id="Rectangle 19" o:spid="_x0000_s1026" style="position:absolute;margin-left:356.1pt;margin-top:41.6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wC5AEAALQDAAAOAAAAZHJzL2Uyb0RvYy54bWysU9uO2yAQfa/Uf0C8N7ajpNm14qxWWW1V&#10;aXuRtv0AgsFGxQwdSJz06zvgbDZq36q+IIYZzsw5HNZ3x8Gyg8JgwDW8mpWcKSehNa5r+Pdvj+9u&#10;OAtRuFZYcKrhJxX43ebtm/XoazWHHmyrkBGIC/XoG97H6OuiCLJXgwgz8MpRUgMOIlKIXdGiGAl9&#10;sMW8LN8XI2DrEaQKgU4fpiTfZHytlYxftA4qMttwmi3mFfO6S2uxWYu6Q+F7I89jiH+YYhDGUdML&#10;1IOIgu3R/AU1GIkQQMeZhKEArY1UmQOxqco/2Dz3wqvMhcQJ/iJT+H+w8vPh2X/FNHrwTyB/BOZg&#10;2wvXqXtEGHslWmpXJaGK0Yf6ciEFga6y3fgJWnpasY+QNThqHBIgsWPHLPXpIrU6RibpsFrdrsol&#10;Z5JS533qIOqXyx5D/KBgYGnTcKSXzODi8BTiVPpSkocHa9pHY20OsNttLbKDoFefL2+q7SLPTxyv&#10;y6xLxQ7StQkxnWSWiVjyUKh30J6IJMJkHbI6bXrAX5yNZJuGh597gYoz+9GRULfVYpF8loPFcjWn&#10;AK8zu+uMcJKgGh45m7bbOHlz79F0PXWqMmkH9ySuNpn461TnYckaWbqzjZP3ruNc9frZNr8BAAD/&#10;/wMAUEsDBBQABgAIAAAAIQDCM5WW3QAAAAoBAAAPAAAAZHJzL2Rvd25yZXYueG1sTI/BTsMwDIbv&#10;SLxDZCRuLGnZ2qk0ndAEt122Ic5pYpqKJqmadCtvj3eCk2X50+/vr3eLG9gFp9gHLyFbCWDodTC9&#10;7yR8nN+ftsBiUt6oIXiU8IMRds39Xa0qE67+iJdT6hiF+FgpCTalseI8aotOxVUY0dPtK0xOJVqn&#10;jptJXSncDTwXouBO9Z4+WDXi3qL+Ps1OAmpRHHB/6N/mGa3+FO2xWEopHx+W1xdgCZf0B8NNn9Sh&#10;Iac2zN5ENkgoszwnVML2mSYB5VpsgLVEZtkGeFPz/xWaXwAAAP//AwBQSwECLQAUAAYACAAAACEA&#10;toM4kv4AAADhAQAAEwAAAAAAAAAAAAAAAAAAAAAAW0NvbnRlbnRfVHlwZXNdLnhtbFBLAQItABQA&#10;BgAIAAAAIQA4/SH/1gAAAJQBAAALAAAAAAAAAAAAAAAAAC8BAABfcmVscy8ucmVsc1BLAQItABQA&#10;BgAIAAAAIQCnnRwC5AEAALQDAAAOAAAAAAAAAAAAAAAAAC4CAABkcnMvZTJvRG9jLnhtbFBLAQIt&#10;ABQABgAIAAAAIQDCM5WW3QAAAAoBAAAPAAAAAAAAAAAAAAAAAD4EAABkcnMvZG93bnJldi54bWxQ&#10;SwUGAAAAAAQABADzAAAASAUAAAAA&#10;" fillcolor="#2581c4" stroked="f" strokecolor="#072260" strokeweight="0">
                <w10:wrap anchory="page"/>
                <w10:anchorlock/>
              </v:rect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708C1EE2" wp14:editId="2913DF44">
                <wp:simplePos x="0" y="0"/>
                <wp:positionH relativeFrom="column">
                  <wp:posOffset>2071370</wp:posOffset>
                </wp:positionH>
                <wp:positionV relativeFrom="page">
                  <wp:posOffset>530860</wp:posOffset>
                </wp:positionV>
                <wp:extent cx="179705" cy="179705"/>
                <wp:effectExtent l="13970" t="6985" r="6350" b="13335"/>
                <wp:wrapNone/>
                <wp:docPr id="20387750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072260"/>
                        </a:solidFill>
                        <a:ln w="0">
                          <a:solidFill>
                            <a:srgbClr val="0722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CEFB7E7" id="Rectangle 15" o:spid="_x0000_s1026" style="position:absolute;margin-left:163.1pt;margin-top:41.8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vvo/QEAABIEAAAOAAAAZHJzL2Uyb0RvYy54bWysU8Fu2zAMvQ/YPwi6L7aDtGmNOEWRrsOA&#10;bh3Q7QMUWbaFSaJGKXG6rx8lp2mw3Yr5IJCm+Eg+Pq1uDtawvcKgwTW8mpWcKSeh1a5v+I/v9x+u&#10;OAtRuFYYcKrhzyrwm/X7d6vR12oOA5hWISMQF+rRN3yI0ddFEeSgrAgz8MpRsAO0IpKLfdGiGAnd&#10;mmJelpfFCNh6BKlCoL93U5CvM37XKRkfuy6oyEzDqbeYT8znNp3FeiXqHoUftDy2Id7QhRXaUdET&#10;1J2Igu1Q/wNltUQI0MWZBFtA12mp8gw0TVX+Nc3TILzKsxA5wZ9oCv8PVn7dP/lvmFoP/gHkz8Ac&#10;bAbhenWLCOOgREvlqkRUMfpQnxKSEyiVbccv0NJqxS5C5uDQoU2ANB07ZKqfT1SrQ2SSflbL62V5&#10;wZmk0NFOFUT9kuwxxE8KLEtGw5E2mcHF/iHE6erLldw8GN3ea2Oyg/12Y5DtRdr6cj6/zIsm9HB+&#10;zTg2psbemm91JO0abRt+VaZvUlOi7KNrs7Ki0GayqbhxRw4TbUmhod5C+0wUIkzCpIdExgD4m7OR&#10;RNnw8GsnUHFmPjtaw3W1WCQVZ2dxsZyTg+eR7XlEOElQDY+cTeYmTsrfedT9QJWqPLuDW1pdpzOt&#10;r10dmyXh5cUcH0lS9rmfb70+5fUfAAAA//8DAFBLAwQUAAYACAAAACEAc1b6veIAAAAKAQAADwAA&#10;AGRycy9kb3ducmV2LnhtbEyPTU+EMBRF9yb+h+aZuHPKx4CIlIkhMW5GjejEbYFnQWmLtDOD/nqf&#10;K12+3JN7zys2ix7ZAWc3WCMgXAXA0LS2G4wS8PJ8e5EBc16aTo7WoIAvdLApT08KmXf2aJ7wUHvF&#10;qMS4XArovZ9yzl3bo5ZuZSc0lL3ZWUtP56x4N8sjleuRR0GQci0HQwu9nLDqsf2o91pAva12avd4&#10;+fl+n22Ttfq+q5qHVyHOz5aba2AeF/8Hw68+qUNJTo3dm86xUUAcpRGhArI4BUZAnKwTYA2RYXgF&#10;vCz4/xfKHwAAAP//AwBQSwECLQAUAAYACAAAACEAtoM4kv4AAADhAQAAEwAAAAAAAAAAAAAAAAAA&#10;AAAAW0NvbnRlbnRfVHlwZXNdLnhtbFBLAQItABQABgAIAAAAIQA4/SH/1gAAAJQBAAALAAAAAAAA&#10;AAAAAAAAAC8BAABfcmVscy8ucmVsc1BLAQItABQABgAIAAAAIQCt3vvo/QEAABIEAAAOAAAAAAAA&#10;AAAAAAAAAC4CAABkcnMvZTJvRG9jLnhtbFBLAQItABQABgAIAAAAIQBzVvq94gAAAAoBAAAPAAAA&#10;AAAAAAAAAAAAAFcEAABkcnMvZG93bnJldi54bWxQSwUGAAAAAAQABADzAAAAZgUAAAAA&#10;" o:allowincell="f" fillcolor="#072260" strokecolor="#072260" strokeweight="0">
                <w10:wrap anchory="page"/>
                <w10:anchorlock/>
              </v:rect>
            </w:pict>
          </mc:Fallback>
        </mc:AlternateContent>
      </w:r>
      <w:r w:rsidR="001D2E32">
        <w:t xml:space="preserve"> </w:t>
      </w:r>
    </w:p>
    <w:bookmarkEnd w:id="0"/>
    <w:p w14:paraId="3FA0A7A1" w14:textId="77777777" w:rsidR="001C6C87" w:rsidRDefault="001C6C87"/>
    <w:p w14:paraId="3099D200" w14:textId="77777777" w:rsidR="00402AC7" w:rsidRDefault="00402AC7" w:rsidP="00554485">
      <w:pPr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1" w:name="informovaný_souhlas_k_výkonu_irev_844446"/>
    </w:p>
    <w:p w14:paraId="65EE82AA" w14:textId="1E8974E8" w:rsidR="00DC5631" w:rsidRDefault="00DC5631" w:rsidP="003F296E">
      <w:pPr>
        <w:tabs>
          <w:tab w:val="center" w:pos="4536"/>
          <w:tab w:val="right" w:pos="9072"/>
        </w:tabs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2" w:name="_Hlk232669346"/>
      <w:r>
        <w:rPr>
          <w:rFonts w:ascii="Arial" w:eastAsia="Georgia" w:hAnsi="Arial" w:cs="Arial"/>
          <w:b/>
          <w:sz w:val="28"/>
          <w:szCs w:val="28"/>
        </w:rPr>
        <w:t>PŘÍLOHA K INFORMOVANÉMU SOUHLASU</w:t>
      </w:r>
    </w:p>
    <w:bookmarkEnd w:id="1"/>
    <w:bookmarkEnd w:id="2"/>
    <w:p w14:paraId="78EECC5C" w14:textId="77777777" w:rsidR="00480826" w:rsidRPr="00480826" w:rsidRDefault="00480826" w:rsidP="00480826">
      <w:pPr>
        <w:pStyle w:val="Nzev"/>
        <w:jc w:val="center"/>
        <w:rPr>
          <w:rFonts w:ascii="Arial" w:hAnsi="Arial" w:cs="Arial"/>
          <w:b/>
          <w:bCs/>
          <w:sz w:val="28"/>
          <w:szCs w:val="28"/>
        </w:rPr>
      </w:pPr>
      <w:r w:rsidRPr="00480826">
        <w:rPr>
          <w:rFonts w:ascii="Arial" w:hAnsi="Arial" w:cs="Arial"/>
          <w:b/>
          <w:bCs/>
          <w:sz w:val="28"/>
          <w:szCs w:val="28"/>
        </w:rPr>
        <w:t>Endoskopické ošetření jícnových (žaludečních) varixů</w:t>
      </w:r>
    </w:p>
    <w:p w14:paraId="089FF731" w14:textId="77777777" w:rsidR="000C559A" w:rsidRPr="003F296E" w:rsidRDefault="000C559A" w:rsidP="000C559A">
      <w:pPr>
        <w:pStyle w:val="Nzev"/>
        <w:jc w:val="both"/>
        <w:rPr>
          <w:rFonts w:ascii="Arial" w:hAnsi="Arial" w:cs="Arial"/>
          <w:sz w:val="22"/>
          <w:szCs w:val="22"/>
        </w:rPr>
      </w:pPr>
      <w:r w:rsidRPr="003F296E">
        <w:rPr>
          <w:rFonts w:ascii="Arial" w:hAnsi="Arial" w:cs="Arial"/>
          <w:sz w:val="22"/>
          <w:szCs w:val="22"/>
        </w:rPr>
        <w:t xml:space="preserve"> </w:t>
      </w:r>
    </w:p>
    <w:p w14:paraId="3866FA23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>Indikace vyšetření, popis:</w:t>
      </w:r>
    </w:p>
    <w:p w14:paraId="6196E8C1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   Cílem výkonu je endoskopická léčba varixů (rozšířených žil) jícnu nebo žaludku, které vznikají jako následek přetlaku v břišním cévním řečišti v důsledku různých onemocnění. Ošetření je indikováno ke snížení rizika opakování krvácení (v případě již proběhlého krvácení) nebo jako preventivní při vysokém riziku, že by ke krvácení mohlo dojít.</w:t>
      </w:r>
    </w:p>
    <w:p w14:paraId="756C1E5C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   Vyšetření se provádí při gastroskopii. V průběhu výkonu je tenký ohebný přístroj s </w:t>
      </w:r>
      <w:proofErr w:type="gramStart"/>
      <w:r w:rsidRPr="00480826">
        <w:rPr>
          <w:rFonts w:ascii="Arial" w:hAnsi="Arial"/>
          <w:sz w:val="22"/>
          <w:szCs w:val="22"/>
        </w:rPr>
        <w:t>optikou - endoskop</w:t>
      </w:r>
      <w:proofErr w:type="gramEnd"/>
      <w:r w:rsidRPr="00480826">
        <w:rPr>
          <w:rFonts w:ascii="Arial" w:hAnsi="Arial"/>
          <w:sz w:val="22"/>
          <w:szCs w:val="22"/>
        </w:rPr>
        <w:t xml:space="preserve"> zaveden ústy do jícnu, žaludku a dvanácterníku. Vyšetření se provádí v poloze vleže na levém boku. Pod kontrolou zraku je ošetřeno rizikové místo opichy účinné látky (sklerotizace) nebo naložením speciálních gumových kroužků (</w:t>
      </w:r>
      <w:proofErr w:type="spellStart"/>
      <w:r w:rsidRPr="00480826">
        <w:rPr>
          <w:rFonts w:ascii="Arial" w:hAnsi="Arial"/>
          <w:sz w:val="22"/>
          <w:szCs w:val="22"/>
        </w:rPr>
        <w:t>ligace</w:t>
      </w:r>
      <w:proofErr w:type="spellEnd"/>
      <w:r w:rsidRPr="00480826">
        <w:rPr>
          <w:rFonts w:ascii="Arial" w:hAnsi="Arial"/>
          <w:sz w:val="22"/>
          <w:szCs w:val="22"/>
        </w:rPr>
        <w:t xml:space="preserve">). Cílem vyšetření je omezit krevní tok v rizikovém místě a snížit tak riziko případného nového krvácení. Někdy je nutné ošetření provádět opakovaně. </w:t>
      </w:r>
    </w:p>
    <w:p w14:paraId="4FD59EFD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   Při </w:t>
      </w:r>
      <w:r w:rsidRPr="00480826">
        <w:rPr>
          <w:rFonts w:ascii="Arial" w:hAnsi="Arial"/>
          <w:color w:val="FF0000"/>
          <w:sz w:val="22"/>
          <w:szCs w:val="22"/>
        </w:rPr>
        <w:t>plánovaném</w:t>
      </w:r>
      <w:r w:rsidRPr="00480826">
        <w:rPr>
          <w:rFonts w:ascii="Arial" w:hAnsi="Arial"/>
          <w:sz w:val="22"/>
          <w:szCs w:val="22"/>
        </w:rPr>
        <w:t xml:space="preserve"> endoskopickém vyšetření mohou být dle povahy výkonu a přání pacienta podány zklidňující a znecitlivující léky. </w:t>
      </w:r>
    </w:p>
    <w:p w14:paraId="51413B95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Případné dotazy k vyšetření Vám budou zodpovězeny lékařem před vyšetřením. </w:t>
      </w:r>
    </w:p>
    <w:p w14:paraId="4E979DA4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</w:t>
      </w:r>
    </w:p>
    <w:p w14:paraId="2987869A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>Komplikace:</w:t>
      </w:r>
    </w:p>
    <w:p w14:paraId="4F439C9C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color w:val="FF0000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   Endoskopické ošetření varixů může být vzácně spojeno s rizikem komplikací. Možnou komplikací může být časné i pozdní krvácení (pokud by se ošetření neprovádělo, pak je riziko krvácení v důsledku onemocnění mnohem vyšší), obtížné hojení ošetřené sliznice nebo velmi vzácně poranění stěny trávicí trubice. Zcela výjimečně může dojít k ovlivnění dechové a oběhové činnosti.  Při podávání léků nelze zcela vyloučit možnost alergie. </w:t>
      </w:r>
      <w:r w:rsidRPr="00480826">
        <w:rPr>
          <w:rFonts w:ascii="Arial" w:hAnsi="Arial"/>
          <w:color w:val="FF0000"/>
          <w:sz w:val="22"/>
          <w:szCs w:val="22"/>
        </w:rPr>
        <w:t xml:space="preserve">Při neúspěchu této metody při akutní krvácení a pokračujícím krvácení je dočasně </w:t>
      </w:r>
      <w:proofErr w:type="spellStart"/>
      <w:proofErr w:type="gramStart"/>
      <w:r w:rsidRPr="00480826">
        <w:rPr>
          <w:rFonts w:ascii="Arial" w:hAnsi="Arial"/>
          <w:color w:val="FF0000"/>
          <w:sz w:val="22"/>
          <w:szCs w:val="22"/>
        </w:rPr>
        <w:t>zavedena.speciální</w:t>
      </w:r>
      <w:proofErr w:type="spellEnd"/>
      <w:proofErr w:type="gramEnd"/>
      <w:r w:rsidRPr="00480826">
        <w:rPr>
          <w:rFonts w:ascii="Arial" w:hAnsi="Arial"/>
          <w:color w:val="FF0000"/>
          <w:sz w:val="22"/>
          <w:szCs w:val="22"/>
        </w:rPr>
        <w:t xml:space="preserve"> balonková sonda nebo stent do jícnu k zástavě krvácení z varixů. </w:t>
      </w:r>
    </w:p>
    <w:p w14:paraId="6FDBDE44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color w:val="FF0000"/>
          <w:sz w:val="22"/>
          <w:szCs w:val="22"/>
        </w:rPr>
      </w:pPr>
    </w:p>
    <w:p w14:paraId="60EACF7C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 xml:space="preserve">Příprava před vyšetřením: </w:t>
      </w:r>
    </w:p>
    <w:p w14:paraId="2B26C0C2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   Výkon se provádí nalačno – minimálně 6-8 hodin, lépe od půlnoci nejezte a nepijte. Před vyšetřením nekuřte. Výkon je prováděn většinou za několikadenního pobytu v nemocnici. Před vyšetřením je nutná znalost aktuálních parametrů krevního srážení a počet krevních </w:t>
      </w:r>
      <w:proofErr w:type="gramStart"/>
      <w:r w:rsidRPr="00480826">
        <w:rPr>
          <w:rFonts w:ascii="Arial" w:hAnsi="Arial"/>
          <w:sz w:val="22"/>
          <w:szCs w:val="22"/>
        </w:rPr>
        <w:t>destiček - krevní</w:t>
      </w:r>
      <w:proofErr w:type="gramEnd"/>
      <w:r w:rsidRPr="00480826">
        <w:rPr>
          <w:rFonts w:ascii="Arial" w:hAnsi="Arial"/>
          <w:sz w:val="22"/>
          <w:szCs w:val="22"/>
        </w:rPr>
        <w:t xml:space="preserve"> obraz.</w:t>
      </w:r>
    </w:p>
    <w:p w14:paraId="08BD9DDC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color w:val="FF0000"/>
          <w:sz w:val="22"/>
          <w:szCs w:val="22"/>
        </w:rPr>
      </w:pPr>
      <w:r w:rsidRPr="00480826">
        <w:rPr>
          <w:rFonts w:ascii="Arial" w:hAnsi="Arial"/>
          <w:color w:val="FF0000"/>
          <w:sz w:val="22"/>
          <w:szCs w:val="22"/>
        </w:rPr>
        <w:t xml:space="preserve">Léky, které užíváte pravidelně, můžete ráno užít. </w:t>
      </w:r>
    </w:p>
    <w:p w14:paraId="6D5DAA0E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 xml:space="preserve">Riziko krvácivé komplikace zvyšují některé léky.  Lékař s vámi proto probere všechny léky, které aktuálně užíváte. </w:t>
      </w:r>
    </w:p>
    <w:p w14:paraId="3D51D093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</w:p>
    <w:p w14:paraId="06BB6A0D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>Alternativa navrhovaných zdravotních služeb, možnost zvolit si jednu z alternativ</w:t>
      </w:r>
    </w:p>
    <w:p w14:paraId="5EE0359C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   Není-li rizikové místo varixů endoskopicky ošetřeno může dojít k výraznému zvýšení rizika vzniku pozdějšího krvácení.  Dočasně lze omezit krvácení pomocí zavedené sondy s balonky nebo</w:t>
      </w:r>
      <w:r w:rsidRPr="00480826">
        <w:rPr>
          <w:rFonts w:ascii="Arial" w:hAnsi="Arial"/>
          <w:color w:val="FF0000"/>
          <w:sz w:val="22"/>
          <w:szCs w:val="22"/>
        </w:rPr>
        <w:t xml:space="preserve"> stentu.</w:t>
      </w:r>
      <w:r w:rsidRPr="00480826">
        <w:rPr>
          <w:rFonts w:ascii="Arial" w:hAnsi="Arial"/>
          <w:sz w:val="22"/>
          <w:szCs w:val="22"/>
        </w:rPr>
        <w:t xml:space="preserve"> Zavedení spojky do jater pod RTG kontrolou (TIPS) se provádí jen v případě opakovaného krvácení a nemožnosti účinného endoskopického ošetření a je zatíženo jinými komplikacemi.</w:t>
      </w:r>
    </w:p>
    <w:p w14:paraId="5A75870C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</w:p>
    <w:p w14:paraId="69CACE58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>Možná omezení v obvyklém způsobu života a v pracovní schopnosti po poskytnutí příslušných zdravotních služeb a případné změny zdravotní způsobilosti</w:t>
      </w:r>
    </w:p>
    <w:p w14:paraId="245AF0E5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 xml:space="preserve">     Výkon se provádí nalačno. Po výkonu může být pociťována zvýšená plynatost a tlak za hrudní kostí, které postupně odezní. Po ošetření varixů je žádoucí zvláštní stravovací režim.  První den jen velmi omezený příjem tekutin, dalších 5 dnů po vyšetření jen tekutá a řídká kašovitá strava. Do doby 2 týdnů od ošetření je doporučována měkká, kašovitá strava bez větších a tužších kousků, mleté maso, měkké pečivo bez kůrek apod. Předčasné požití většího nebo tužšího sousta může vést k poranění ošetřovaného místa a k rozvoji krvácení.  Pokud jsou nitrožilně podány uklidňující léky nesmí pacient 8 hodin po podání řídit motorová </w:t>
      </w:r>
      <w:r w:rsidRPr="00480826">
        <w:rPr>
          <w:rFonts w:ascii="Arial" w:hAnsi="Arial"/>
          <w:sz w:val="22"/>
          <w:szCs w:val="22"/>
        </w:rPr>
        <w:lastRenderedPageBreak/>
        <w:t xml:space="preserve">vozidla, vykonávat činnost vyžadující zvýšenou pozornost a nesmí pít alkoholické nápoje. Po dobu následujících 2 týdnů by měl být dodržován relativní fyzický klid. </w:t>
      </w:r>
      <w:r w:rsidRPr="00480826">
        <w:rPr>
          <w:rFonts w:ascii="Arial" w:hAnsi="Arial"/>
          <w:color w:val="FF0000"/>
          <w:sz w:val="22"/>
          <w:szCs w:val="22"/>
        </w:rPr>
        <w:t>Výkon se provádí za krátké hospitalizace.</w:t>
      </w:r>
    </w:p>
    <w:p w14:paraId="4FD83C62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</w:p>
    <w:p w14:paraId="35916879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480826">
        <w:rPr>
          <w:rFonts w:ascii="Arial" w:hAnsi="Arial" w:cs="Arial"/>
          <w:b/>
          <w:sz w:val="22"/>
          <w:szCs w:val="22"/>
        </w:rPr>
        <w:t>Údaje o léčebném režimu a preventivních opatřeních, která jsou vhodná, a o poskytnutí dalších zdravotních služeb</w:t>
      </w:r>
    </w:p>
    <w:p w14:paraId="2661C0E0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  <w:r w:rsidRPr="00480826">
        <w:rPr>
          <w:rFonts w:ascii="Arial" w:hAnsi="Arial" w:cs="Arial"/>
          <w:sz w:val="22"/>
          <w:szCs w:val="22"/>
        </w:rPr>
        <w:t xml:space="preserve">     V případě výskytu komplikací budou provedeny veškeré další potřebné a neodkladné výkony. Ve vybraných případech si může ošetření varixů vyžádat změny léčebného režimu a preventivních opatření (několikadenní hospitalizace, opakované endoskopické vyšetření a další). Případné komplikace jsou zpravidla řešeny endoskopicky, ale mohou si vyžádat i nutnost další léčby (zavedení sondy, radiologické zavedení spojky TIPS).</w:t>
      </w:r>
    </w:p>
    <w:p w14:paraId="0F311FD4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</w:p>
    <w:p w14:paraId="679136AD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  <w:r w:rsidRPr="00480826">
        <w:rPr>
          <w:rFonts w:ascii="Arial" w:hAnsi="Arial" w:cs="Arial"/>
          <w:sz w:val="22"/>
          <w:szCs w:val="22"/>
        </w:rPr>
        <w:t xml:space="preserve">. </w:t>
      </w:r>
    </w:p>
    <w:p w14:paraId="48EB6CDB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</w:p>
    <w:p w14:paraId="0ABBD784" w14:textId="77777777" w:rsidR="00480826" w:rsidRPr="00480826" w:rsidRDefault="00480826" w:rsidP="00480826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</w:p>
    <w:p w14:paraId="6347A124" w14:textId="77777777" w:rsidR="00480826" w:rsidRPr="00480826" w:rsidRDefault="00480826" w:rsidP="00480826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>Rizikové léky a doba posledního užití: ………………………………………………………………</w:t>
      </w:r>
      <w:proofErr w:type="gramStart"/>
      <w:r w:rsidRPr="00480826">
        <w:rPr>
          <w:rFonts w:ascii="Arial" w:hAnsi="Arial"/>
          <w:b/>
          <w:sz w:val="22"/>
          <w:szCs w:val="22"/>
        </w:rPr>
        <w:t>…….</w:t>
      </w:r>
      <w:proofErr w:type="gramEnd"/>
      <w:r w:rsidRPr="00480826">
        <w:rPr>
          <w:rFonts w:ascii="Arial" w:hAnsi="Arial"/>
          <w:b/>
          <w:sz w:val="22"/>
          <w:szCs w:val="22"/>
        </w:rPr>
        <w:t>.</w:t>
      </w:r>
    </w:p>
    <w:p w14:paraId="4DFDD923" w14:textId="77777777" w:rsidR="00480826" w:rsidRPr="00480826" w:rsidRDefault="00480826" w:rsidP="00480826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</w:p>
    <w:p w14:paraId="1E80059C" w14:textId="77777777" w:rsidR="00480826" w:rsidRPr="00480826" w:rsidRDefault="00480826" w:rsidP="00480826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>Zvýšená náchylnost ke krvácení samovolně nebo po drobných poraněních?</w:t>
      </w:r>
      <w:r w:rsidRPr="00480826">
        <w:rPr>
          <w:rFonts w:ascii="Arial" w:hAnsi="Arial"/>
          <w:b/>
          <w:sz w:val="22"/>
          <w:szCs w:val="22"/>
        </w:rPr>
        <w:t xml:space="preserve">  Ano / Ne </w:t>
      </w:r>
    </w:p>
    <w:p w14:paraId="3063E8BF" w14:textId="77777777" w:rsidR="00480826" w:rsidRPr="00480826" w:rsidRDefault="00480826" w:rsidP="00480826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</w:p>
    <w:p w14:paraId="03E4AE46" w14:textId="77777777" w:rsidR="00480826" w:rsidRPr="00480826" w:rsidRDefault="00480826" w:rsidP="00480826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b/>
          <w:sz w:val="22"/>
          <w:szCs w:val="22"/>
        </w:rPr>
        <w:t>Informujte nás prosím o případných alergiích a chronických onemocněních</w:t>
      </w:r>
    </w:p>
    <w:p w14:paraId="76FE6075" w14:textId="77777777" w:rsidR="00480826" w:rsidRPr="00480826" w:rsidRDefault="00480826" w:rsidP="00480826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</w:p>
    <w:p w14:paraId="17C76F14" w14:textId="77777777" w:rsidR="00480826" w:rsidRPr="00480826" w:rsidRDefault="00480826" w:rsidP="00480826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</w:p>
    <w:p w14:paraId="58FD0E6F" w14:textId="77777777" w:rsidR="00480826" w:rsidRPr="00480826" w:rsidRDefault="00480826" w:rsidP="00480826">
      <w:pPr>
        <w:pStyle w:val="Normlnweb"/>
        <w:rPr>
          <w:rFonts w:ascii="Arial" w:hAnsi="Arial"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>Alergie: ……………………………………………             Chronické nemoci……………………………………</w:t>
      </w:r>
    </w:p>
    <w:p w14:paraId="7F1F8CB1" w14:textId="77777777" w:rsidR="00480826" w:rsidRPr="00480826" w:rsidRDefault="00480826" w:rsidP="00480826">
      <w:pPr>
        <w:pStyle w:val="Normlnweb"/>
        <w:rPr>
          <w:rFonts w:ascii="Arial" w:hAnsi="Arial"/>
          <w:sz w:val="22"/>
          <w:szCs w:val="22"/>
        </w:rPr>
      </w:pPr>
    </w:p>
    <w:p w14:paraId="7865505E" w14:textId="77777777" w:rsidR="00480826" w:rsidRPr="00480826" w:rsidRDefault="00480826" w:rsidP="00480826">
      <w:pPr>
        <w:pStyle w:val="Normlnweb"/>
        <w:rPr>
          <w:rFonts w:ascii="Arial" w:hAnsi="Arial"/>
          <w:b/>
          <w:sz w:val="22"/>
          <w:szCs w:val="22"/>
        </w:rPr>
      </w:pPr>
      <w:r w:rsidRPr="00480826">
        <w:rPr>
          <w:rFonts w:ascii="Arial" w:hAnsi="Arial"/>
          <w:sz w:val="22"/>
          <w:szCs w:val="22"/>
        </w:rPr>
        <w:t>Jste těhotná</w:t>
      </w:r>
      <w:r w:rsidRPr="00480826">
        <w:rPr>
          <w:rFonts w:ascii="Arial" w:hAnsi="Arial"/>
          <w:b/>
          <w:sz w:val="22"/>
          <w:szCs w:val="22"/>
        </w:rPr>
        <w:t xml:space="preserve">   Ano / Ne        </w:t>
      </w:r>
      <w:r w:rsidRPr="00480826">
        <w:rPr>
          <w:rFonts w:ascii="Arial" w:hAnsi="Arial"/>
          <w:sz w:val="22"/>
          <w:szCs w:val="22"/>
        </w:rPr>
        <w:t>Kardiostimulátor/</w:t>
      </w:r>
      <w:proofErr w:type="gramStart"/>
      <w:r w:rsidRPr="00480826">
        <w:rPr>
          <w:rFonts w:ascii="Arial" w:hAnsi="Arial"/>
          <w:sz w:val="22"/>
          <w:szCs w:val="22"/>
        </w:rPr>
        <w:t>defibrilátor</w:t>
      </w:r>
      <w:r w:rsidRPr="00480826">
        <w:rPr>
          <w:rFonts w:ascii="Arial" w:hAnsi="Arial"/>
          <w:b/>
          <w:sz w:val="22"/>
          <w:szCs w:val="22"/>
        </w:rPr>
        <w:t xml:space="preserve">  Ano</w:t>
      </w:r>
      <w:proofErr w:type="gramEnd"/>
      <w:r w:rsidRPr="00480826">
        <w:rPr>
          <w:rFonts w:ascii="Arial" w:hAnsi="Arial"/>
          <w:b/>
          <w:sz w:val="22"/>
          <w:szCs w:val="22"/>
        </w:rPr>
        <w:t xml:space="preserve"> / Ne           </w:t>
      </w:r>
      <w:r w:rsidRPr="00480826">
        <w:rPr>
          <w:rFonts w:ascii="Arial" w:hAnsi="Arial"/>
          <w:sz w:val="22"/>
          <w:szCs w:val="22"/>
        </w:rPr>
        <w:t>Umělá srdeční chlopeň</w:t>
      </w:r>
      <w:r w:rsidRPr="00480826">
        <w:rPr>
          <w:rFonts w:ascii="Arial" w:hAnsi="Arial"/>
          <w:b/>
          <w:sz w:val="22"/>
          <w:szCs w:val="22"/>
        </w:rPr>
        <w:t xml:space="preserve"> Ano / Ne </w:t>
      </w:r>
    </w:p>
    <w:p w14:paraId="05D59560" w14:textId="77777777" w:rsidR="000B0DD5" w:rsidRPr="003F296E" w:rsidRDefault="000B0DD5" w:rsidP="00554485">
      <w:pPr>
        <w:spacing w:after="210"/>
        <w:jc w:val="both"/>
        <w:rPr>
          <w:rFonts w:ascii="Arial" w:hAnsi="Arial" w:cs="Arial"/>
          <w:sz w:val="22"/>
          <w:szCs w:val="22"/>
        </w:rPr>
      </w:pPr>
    </w:p>
    <w:p w14:paraId="7098CA64" w14:textId="77777777" w:rsidR="00DF40D8" w:rsidRPr="003F296E" w:rsidRDefault="00DF40D8" w:rsidP="00554485">
      <w:pPr>
        <w:spacing w:after="210"/>
        <w:jc w:val="both"/>
        <w:rPr>
          <w:rFonts w:ascii="Arial" w:hAnsi="Arial" w:cs="Arial"/>
          <w:sz w:val="22"/>
          <w:szCs w:val="22"/>
        </w:rPr>
      </w:pPr>
    </w:p>
    <w:p w14:paraId="5A79E917" w14:textId="77777777" w:rsidR="00402AC7" w:rsidRDefault="00402AC7"/>
    <w:p w14:paraId="5CEDA134" w14:textId="77777777" w:rsidR="00CA5B49" w:rsidRDefault="00CA5B49"/>
    <w:p w14:paraId="7F797330" w14:textId="77777777" w:rsidR="00242980" w:rsidRDefault="00242980"/>
    <w:tbl>
      <w:tblPr>
        <w:tblStyle w:val="Mkatabulky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5956"/>
        <w:gridCol w:w="709"/>
        <w:gridCol w:w="1058"/>
        <w:gridCol w:w="785"/>
      </w:tblGrid>
      <w:tr w:rsidR="00242980" w:rsidRPr="00242980" w14:paraId="6F87C5AE" w14:textId="77777777" w:rsidTr="001D2042">
        <w:trPr>
          <w:trHeight w:val="737"/>
        </w:trPr>
        <w:tc>
          <w:tcPr>
            <w:tcW w:w="2124" w:type="dxa"/>
            <w:vAlign w:val="bottom"/>
          </w:tcPr>
          <w:p w14:paraId="6B3E7615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44F66B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Četl dne:</w:t>
            </w:r>
          </w:p>
        </w:tc>
        <w:tc>
          <w:tcPr>
            <w:tcW w:w="8508" w:type="dxa"/>
            <w:gridSpan w:val="4"/>
            <w:vAlign w:val="bottom"/>
          </w:tcPr>
          <w:p w14:paraId="2EAE4B34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489E9FEC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46B7A277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Jméno a příjmení pacienta:</w:t>
            </w:r>
          </w:p>
        </w:tc>
        <w:tc>
          <w:tcPr>
            <w:tcW w:w="5956" w:type="dxa"/>
            <w:vAlign w:val="bottom"/>
          </w:tcPr>
          <w:p w14:paraId="0DE08B9F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bottom"/>
            <w:hideMark/>
          </w:tcPr>
          <w:p w14:paraId="7A5904D0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RČ:</w:t>
            </w:r>
          </w:p>
        </w:tc>
        <w:tc>
          <w:tcPr>
            <w:tcW w:w="1843" w:type="dxa"/>
            <w:gridSpan w:val="2"/>
            <w:vAlign w:val="bottom"/>
          </w:tcPr>
          <w:p w14:paraId="441A864A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6086E075" w14:textId="77777777" w:rsidTr="001D2042">
        <w:trPr>
          <w:trHeight w:val="225"/>
        </w:trPr>
        <w:tc>
          <w:tcPr>
            <w:tcW w:w="2124" w:type="dxa"/>
            <w:vAlign w:val="bottom"/>
          </w:tcPr>
          <w:p w14:paraId="0869EED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8" w:type="dxa"/>
            <w:gridSpan w:val="4"/>
            <w:vAlign w:val="bottom"/>
            <w:hideMark/>
          </w:tcPr>
          <w:p w14:paraId="62FB5F6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(identifikaci pacienta je možno provést štítkem)</w:t>
            </w:r>
          </w:p>
        </w:tc>
      </w:tr>
      <w:tr w:rsidR="00242980" w:rsidRPr="00242980" w14:paraId="37AFDAC9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315DC8A3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Podpisy:</w:t>
            </w:r>
          </w:p>
        </w:tc>
        <w:tc>
          <w:tcPr>
            <w:tcW w:w="8508" w:type="dxa"/>
            <w:gridSpan w:val="4"/>
            <w:vAlign w:val="bottom"/>
          </w:tcPr>
          <w:p w14:paraId="75E6F0C6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29B5E005" w14:textId="77777777" w:rsidTr="001D2042">
        <w:trPr>
          <w:gridAfter w:val="1"/>
          <w:wAfter w:w="785" w:type="dxa"/>
          <w:trHeight w:val="20"/>
        </w:trPr>
        <w:tc>
          <w:tcPr>
            <w:tcW w:w="2124" w:type="dxa"/>
            <w:vAlign w:val="bottom"/>
          </w:tcPr>
          <w:p w14:paraId="7069186C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23" w:type="dxa"/>
            <w:gridSpan w:val="3"/>
            <w:vAlign w:val="center"/>
            <w:hideMark/>
          </w:tcPr>
          <w:p w14:paraId="0ADAEB69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pacient / zákonný zástupce / opatrovník</w:t>
            </w:r>
          </w:p>
          <w:p w14:paraId="0B85DE82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(jedná-li se o nezletilého pacienta, který dovršil 14 let, připojí podpisy zákonný zástupce i pacient)</w:t>
            </w:r>
          </w:p>
        </w:tc>
      </w:tr>
    </w:tbl>
    <w:p w14:paraId="7B295E2C" w14:textId="77777777" w:rsidR="00242980" w:rsidRDefault="00242980"/>
    <w:sectPr w:rsidR="00242980" w:rsidSect="00DF40D8">
      <w:footerReference w:type="default" r:id="rId11"/>
      <w:pgSz w:w="11906" w:h="16838" w:code="9"/>
      <w:pgMar w:top="1418" w:right="737" w:bottom="1418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0FD16" w14:textId="77777777" w:rsidR="00394BE7" w:rsidRDefault="00394BE7" w:rsidP="001D2E32">
      <w:r>
        <w:separator/>
      </w:r>
    </w:p>
  </w:endnote>
  <w:endnote w:type="continuationSeparator" w:id="0">
    <w:p w14:paraId="16405DDC" w14:textId="77777777" w:rsidR="00394BE7" w:rsidRDefault="00394BE7" w:rsidP="001D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164209284"/>
      <w:docPartObj>
        <w:docPartGallery w:val="Page Numbers (Bottom of Page)"/>
        <w:docPartUnique/>
      </w:docPartObj>
    </w:sdtPr>
    <w:sdtContent>
      <w:p w14:paraId="03A99069" w14:textId="52C157BA" w:rsidR="00402AC7" w:rsidRPr="00402AC7" w:rsidRDefault="00560419" w:rsidP="00402AC7">
        <w:pPr>
          <w:pStyle w:val="Zpat"/>
          <w:rPr>
            <w:rFonts w:ascii="Arial" w:hAnsi="Arial" w:cs="Arial"/>
            <w:sz w:val="20"/>
            <w:szCs w:val="20"/>
          </w:rPr>
        </w:pPr>
        <w:r w:rsidRPr="00560419">
          <w:rPr>
            <w:rFonts w:ascii="Arial" w:hAnsi="Arial" w:cs="Arial"/>
            <w:b/>
            <w:bCs/>
            <w:sz w:val="20"/>
            <w:szCs w:val="20"/>
          </w:rPr>
          <w:t>4-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530</w:t>
        </w:r>
        <w:r w:rsidR="00871854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26</w:t>
        </w:r>
        <w:r w:rsidRPr="00560419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3</w:t>
        </w:r>
        <w:r>
          <w:rPr>
            <w:rFonts w:ascii="Arial" w:hAnsi="Arial" w:cs="Arial"/>
            <w:sz w:val="20"/>
            <w:szCs w:val="20"/>
          </w:rPr>
          <w:tab/>
        </w:r>
        <w:r>
          <w:rPr>
            <w:rFonts w:ascii="Arial" w:hAnsi="Arial" w:cs="Arial"/>
            <w:sz w:val="20"/>
            <w:szCs w:val="20"/>
          </w:rPr>
          <w:tab/>
        </w:r>
        <w:r w:rsidR="00A2084E">
          <w:rPr>
            <w:rFonts w:ascii="Arial" w:hAnsi="Arial" w:cs="Arial"/>
            <w:sz w:val="20"/>
            <w:szCs w:val="20"/>
          </w:rPr>
          <w:tab/>
        </w:r>
        <w:r w:rsidR="00402AC7" w:rsidRPr="00402AC7">
          <w:rPr>
            <w:rFonts w:ascii="Arial" w:hAnsi="Arial" w:cs="Arial"/>
            <w:sz w:val="20"/>
            <w:szCs w:val="20"/>
          </w:rPr>
          <w:fldChar w:fldCharType="begin"/>
        </w:r>
        <w:r w:rsidR="00402AC7" w:rsidRPr="00402AC7">
          <w:rPr>
            <w:rFonts w:ascii="Arial" w:hAnsi="Arial" w:cs="Arial"/>
            <w:sz w:val="20"/>
            <w:szCs w:val="20"/>
          </w:rPr>
          <w:instrText>PAGE   \* MERGEFORMAT</w:instrText>
        </w:r>
        <w:r w:rsidR="00402AC7" w:rsidRPr="00402AC7">
          <w:rPr>
            <w:rFonts w:ascii="Arial" w:hAnsi="Arial" w:cs="Arial"/>
            <w:sz w:val="20"/>
            <w:szCs w:val="20"/>
          </w:rPr>
          <w:fldChar w:fldCharType="separate"/>
        </w:r>
        <w:r w:rsidR="00402AC7" w:rsidRPr="00402AC7">
          <w:rPr>
            <w:rFonts w:ascii="Arial" w:hAnsi="Arial" w:cs="Arial"/>
            <w:sz w:val="20"/>
            <w:szCs w:val="20"/>
          </w:rPr>
          <w:t>2</w:t>
        </w:r>
        <w:r w:rsidR="00402AC7" w:rsidRPr="00402AC7">
          <w:rPr>
            <w:rFonts w:ascii="Arial" w:hAnsi="Arial" w:cs="Arial"/>
            <w:sz w:val="20"/>
            <w:szCs w:val="20"/>
          </w:rPr>
          <w:fldChar w:fldCharType="end"/>
        </w:r>
        <w:r w:rsidR="00402AC7" w:rsidRPr="00402AC7">
          <w:rPr>
            <w:rFonts w:ascii="Arial" w:hAnsi="Arial" w:cs="Arial"/>
            <w:sz w:val="20"/>
            <w:szCs w:val="20"/>
          </w:rPr>
          <w:t>/</w:t>
        </w:r>
        <w:r w:rsidR="00A2084E">
          <w:rPr>
            <w:rFonts w:ascii="Arial" w:hAnsi="Arial" w:cs="Arial"/>
            <w:sz w:val="20"/>
            <w:szCs w:val="20"/>
          </w:rPr>
          <w:fldChar w:fldCharType="begin"/>
        </w:r>
        <w:r w:rsidR="00A2084E">
          <w:rPr>
            <w:rFonts w:ascii="Arial" w:hAnsi="Arial" w:cs="Arial"/>
            <w:sz w:val="20"/>
            <w:szCs w:val="20"/>
          </w:rPr>
          <w:instrText xml:space="preserve"> NUMPAGES   \* MERGEFORMAT </w:instrText>
        </w:r>
        <w:r w:rsidR="00A2084E">
          <w:rPr>
            <w:rFonts w:ascii="Arial" w:hAnsi="Arial" w:cs="Arial"/>
            <w:sz w:val="20"/>
            <w:szCs w:val="20"/>
          </w:rPr>
          <w:fldChar w:fldCharType="separate"/>
        </w:r>
        <w:r w:rsidR="00A2084E">
          <w:rPr>
            <w:rFonts w:ascii="Arial" w:hAnsi="Arial" w:cs="Arial"/>
            <w:noProof/>
            <w:sz w:val="20"/>
            <w:szCs w:val="20"/>
          </w:rPr>
          <w:t>1</w:t>
        </w:r>
        <w:r w:rsidR="00A2084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24BD623" w14:textId="77777777" w:rsidR="00402AC7" w:rsidRDefault="00402A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E449E" w14:textId="77777777" w:rsidR="00394BE7" w:rsidRDefault="00394BE7" w:rsidP="001D2E32">
      <w:r>
        <w:separator/>
      </w:r>
    </w:p>
  </w:footnote>
  <w:footnote w:type="continuationSeparator" w:id="0">
    <w:p w14:paraId="01FAEB73" w14:textId="77777777" w:rsidR="00394BE7" w:rsidRDefault="00394BE7" w:rsidP="001D2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105E"/>
    <w:multiLevelType w:val="multilevel"/>
    <w:tmpl w:val="F2F436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05172"/>
    <w:multiLevelType w:val="hybridMultilevel"/>
    <w:tmpl w:val="549EA20E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6D7EF0"/>
    <w:multiLevelType w:val="hybridMultilevel"/>
    <w:tmpl w:val="129AFF3A"/>
    <w:lvl w:ilvl="0" w:tplc="FE68A55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26C2F88">
      <w:numFmt w:val="decimal"/>
      <w:lvlText w:val=""/>
      <w:lvlJc w:val="left"/>
    </w:lvl>
    <w:lvl w:ilvl="2" w:tplc="FCB6920C">
      <w:numFmt w:val="decimal"/>
      <w:lvlText w:val=""/>
      <w:lvlJc w:val="left"/>
    </w:lvl>
    <w:lvl w:ilvl="3" w:tplc="600C2386">
      <w:numFmt w:val="decimal"/>
      <w:lvlText w:val=""/>
      <w:lvlJc w:val="left"/>
    </w:lvl>
    <w:lvl w:ilvl="4" w:tplc="4C9A1CF4">
      <w:numFmt w:val="decimal"/>
      <w:lvlText w:val=""/>
      <w:lvlJc w:val="left"/>
    </w:lvl>
    <w:lvl w:ilvl="5" w:tplc="1AACBEB6">
      <w:numFmt w:val="decimal"/>
      <w:lvlText w:val=""/>
      <w:lvlJc w:val="left"/>
    </w:lvl>
    <w:lvl w:ilvl="6" w:tplc="CECC0E00">
      <w:numFmt w:val="decimal"/>
      <w:lvlText w:val=""/>
      <w:lvlJc w:val="left"/>
    </w:lvl>
    <w:lvl w:ilvl="7" w:tplc="6A2C8D06">
      <w:numFmt w:val="decimal"/>
      <w:lvlText w:val=""/>
      <w:lvlJc w:val="left"/>
    </w:lvl>
    <w:lvl w:ilvl="8" w:tplc="AC6E68AA">
      <w:numFmt w:val="decimal"/>
      <w:lvlText w:val=""/>
      <w:lvlJc w:val="left"/>
    </w:lvl>
  </w:abstractNum>
  <w:abstractNum w:abstractNumId="3" w15:restartNumberingAfterBreak="0">
    <w:nsid w:val="521E14A0"/>
    <w:multiLevelType w:val="multilevel"/>
    <w:tmpl w:val="DAA6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C71EF"/>
    <w:multiLevelType w:val="hybridMultilevel"/>
    <w:tmpl w:val="646E4184"/>
    <w:lvl w:ilvl="0" w:tplc="FCC0E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12B19"/>
    <w:multiLevelType w:val="hybridMultilevel"/>
    <w:tmpl w:val="374261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9666034">
      <w:numFmt w:val="decimal"/>
      <w:lvlText w:val=""/>
      <w:lvlJc w:val="left"/>
    </w:lvl>
    <w:lvl w:ilvl="2" w:tplc="4474A436">
      <w:numFmt w:val="decimal"/>
      <w:lvlText w:val=""/>
      <w:lvlJc w:val="left"/>
    </w:lvl>
    <w:lvl w:ilvl="3" w:tplc="40A8D49A">
      <w:numFmt w:val="decimal"/>
      <w:lvlText w:val=""/>
      <w:lvlJc w:val="left"/>
    </w:lvl>
    <w:lvl w:ilvl="4" w:tplc="AA7A991E">
      <w:numFmt w:val="decimal"/>
      <w:lvlText w:val=""/>
      <w:lvlJc w:val="left"/>
    </w:lvl>
    <w:lvl w:ilvl="5" w:tplc="9FB09920">
      <w:numFmt w:val="decimal"/>
      <w:lvlText w:val=""/>
      <w:lvlJc w:val="left"/>
    </w:lvl>
    <w:lvl w:ilvl="6" w:tplc="DFF2035A">
      <w:numFmt w:val="decimal"/>
      <w:lvlText w:val=""/>
      <w:lvlJc w:val="left"/>
    </w:lvl>
    <w:lvl w:ilvl="7" w:tplc="0826FD9A">
      <w:numFmt w:val="decimal"/>
      <w:lvlText w:val=""/>
      <w:lvlJc w:val="left"/>
    </w:lvl>
    <w:lvl w:ilvl="8" w:tplc="9FB0CEF4">
      <w:numFmt w:val="decimal"/>
      <w:lvlText w:val=""/>
      <w:lvlJc w:val="left"/>
    </w:lvl>
  </w:abstractNum>
  <w:num w:numId="1" w16cid:durableId="1595673085">
    <w:abstractNumId w:val="5"/>
  </w:num>
  <w:num w:numId="2" w16cid:durableId="1871675037">
    <w:abstractNumId w:val="2"/>
  </w:num>
  <w:num w:numId="3" w16cid:durableId="673144786">
    <w:abstractNumId w:val="3"/>
  </w:num>
  <w:num w:numId="4" w16cid:durableId="821971041">
    <w:abstractNumId w:val="0"/>
  </w:num>
  <w:num w:numId="5" w16cid:durableId="1217356647">
    <w:abstractNumId w:val="1"/>
  </w:num>
  <w:num w:numId="6" w16cid:durableId="1278483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32"/>
    <w:rsid w:val="000B0DD5"/>
    <w:rsid w:val="000C1206"/>
    <w:rsid w:val="000C559A"/>
    <w:rsid w:val="000E429E"/>
    <w:rsid w:val="00105526"/>
    <w:rsid w:val="001429EC"/>
    <w:rsid w:val="001B7223"/>
    <w:rsid w:val="001C6C87"/>
    <w:rsid w:val="001D2042"/>
    <w:rsid w:val="001D2E32"/>
    <w:rsid w:val="001E2A42"/>
    <w:rsid w:val="0020307B"/>
    <w:rsid w:val="00242980"/>
    <w:rsid w:val="00274E81"/>
    <w:rsid w:val="00314DF0"/>
    <w:rsid w:val="0034619D"/>
    <w:rsid w:val="003833C1"/>
    <w:rsid w:val="00394BE7"/>
    <w:rsid w:val="003F296E"/>
    <w:rsid w:val="00402AC7"/>
    <w:rsid w:val="00410FE4"/>
    <w:rsid w:val="0043690D"/>
    <w:rsid w:val="00480826"/>
    <w:rsid w:val="004877C5"/>
    <w:rsid w:val="00554485"/>
    <w:rsid w:val="00560419"/>
    <w:rsid w:val="005D1D8F"/>
    <w:rsid w:val="00626EB3"/>
    <w:rsid w:val="00632014"/>
    <w:rsid w:val="0067689F"/>
    <w:rsid w:val="00693453"/>
    <w:rsid w:val="006B50E6"/>
    <w:rsid w:val="007461AF"/>
    <w:rsid w:val="00821D68"/>
    <w:rsid w:val="00834F6A"/>
    <w:rsid w:val="00844DE7"/>
    <w:rsid w:val="00850B61"/>
    <w:rsid w:val="00854A41"/>
    <w:rsid w:val="00871854"/>
    <w:rsid w:val="00902AE7"/>
    <w:rsid w:val="009440DF"/>
    <w:rsid w:val="00A00AA6"/>
    <w:rsid w:val="00A2084E"/>
    <w:rsid w:val="00AB5D4F"/>
    <w:rsid w:val="00AB78B6"/>
    <w:rsid w:val="00AE6D1A"/>
    <w:rsid w:val="00B32D96"/>
    <w:rsid w:val="00B41FBE"/>
    <w:rsid w:val="00B66C3D"/>
    <w:rsid w:val="00BB719C"/>
    <w:rsid w:val="00BC690A"/>
    <w:rsid w:val="00BE09C2"/>
    <w:rsid w:val="00C140A4"/>
    <w:rsid w:val="00C44207"/>
    <w:rsid w:val="00C63782"/>
    <w:rsid w:val="00C87FA6"/>
    <w:rsid w:val="00C90BCD"/>
    <w:rsid w:val="00CA5B49"/>
    <w:rsid w:val="00CD5451"/>
    <w:rsid w:val="00D87ECA"/>
    <w:rsid w:val="00DB79D2"/>
    <w:rsid w:val="00DC2A3B"/>
    <w:rsid w:val="00DC5631"/>
    <w:rsid w:val="00DF40D8"/>
    <w:rsid w:val="00E0009E"/>
    <w:rsid w:val="00E9742F"/>
    <w:rsid w:val="00EF385C"/>
    <w:rsid w:val="00F32D17"/>
    <w:rsid w:val="00FB6785"/>
    <w:rsid w:val="00F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7BE"/>
  <w15:chartTrackingRefBased/>
  <w15:docId w15:val="{C09B7E6D-B5CC-49D9-B395-CF416E0A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2E3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D2E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2E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2E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2E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2E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2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2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2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2E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2E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2E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2E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2E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2E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D2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1D2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2E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D2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2E3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D2E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2E3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D2E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2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2E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2E3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uiPriority w:val="22"/>
    <w:qFormat/>
    <w:rsid w:val="00554485"/>
    <w:rPr>
      <w:b/>
      <w:bCs/>
    </w:rPr>
  </w:style>
  <w:style w:type="table" w:styleId="Mkatabulky">
    <w:name w:val="Table Grid"/>
    <w:basedOn w:val="Normlntabulka"/>
    <w:uiPriority w:val="39"/>
    <w:rsid w:val="00554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rsid w:val="004808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203935-C3C3-4354-A0CA-53A23A71A3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A375BD-6284-4E12-88B9-0891F31B3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35D74-F04F-4CB0-A77E-77EFB46A0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Křížová Věra</dc:creator>
  <cp:keywords/>
  <dc:description/>
  <cp:lastModifiedBy>Suchnová Simona</cp:lastModifiedBy>
  <cp:revision>2</cp:revision>
  <cp:lastPrinted>2026-07-28T05:55:00Z</cp:lastPrinted>
  <dcterms:created xsi:type="dcterms:W3CDTF">2026-11-04T06:53:00Z</dcterms:created>
  <dcterms:modified xsi:type="dcterms:W3CDTF">2026-11-04T06:53:00Z</dcterms:modified>
</cp:coreProperties>
</file>